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07014" w14:textId="703965BB" w:rsidR="00B333C6" w:rsidRPr="00BF7028" w:rsidRDefault="00B333C6" w:rsidP="00B333C6">
      <w:pPr>
        <w:widowControl/>
        <w:tabs>
          <w:tab w:val="left" w:pos="-1152"/>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s>
        <w:rPr>
          <w:sz w:val="24"/>
          <w:szCs w:val="24"/>
        </w:rPr>
      </w:pPr>
      <w:r w:rsidRPr="00BF7028">
        <w:rPr>
          <w:b/>
          <w:bCs/>
          <w:sz w:val="24"/>
          <w:szCs w:val="24"/>
        </w:rPr>
        <w:t xml:space="preserve">Publications </w:t>
      </w:r>
      <w:r>
        <w:rPr>
          <w:b/>
          <w:bCs/>
          <w:sz w:val="24"/>
          <w:szCs w:val="24"/>
        </w:rPr>
        <w:t xml:space="preserve"> 202</w:t>
      </w:r>
      <w:r w:rsidR="00E307CC">
        <w:rPr>
          <w:b/>
          <w:bCs/>
          <w:sz w:val="24"/>
          <w:szCs w:val="24"/>
        </w:rPr>
        <w:t>3</w:t>
      </w:r>
    </w:p>
    <w:p w14:paraId="46F87ED7" w14:textId="5A4A43F5" w:rsidR="00B333C6" w:rsidRDefault="00B333C6" w:rsidP="00B333C6">
      <w:pPr>
        <w:widowControl/>
        <w:tabs>
          <w:tab w:val="left" w:pos="-1152"/>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s>
        <w:rPr>
          <w:b/>
          <w:bCs/>
          <w:sz w:val="24"/>
          <w:szCs w:val="24"/>
        </w:rPr>
      </w:pPr>
      <w:r w:rsidRPr="00BF7028">
        <w:rPr>
          <w:b/>
          <w:bCs/>
          <w:sz w:val="24"/>
          <w:szCs w:val="24"/>
        </w:rPr>
        <w:t>Scientific Journals</w:t>
      </w:r>
    </w:p>
    <w:p w14:paraId="6E1DEA17" w14:textId="77777777" w:rsidR="00E307CC" w:rsidRDefault="00E307CC" w:rsidP="00B333C6">
      <w:pPr>
        <w:widowControl/>
        <w:tabs>
          <w:tab w:val="left" w:pos="-1152"/>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s>
        <w:rPr>
          <w:b/>
          <w:bCs/>
          <w:sz w:val="24"/>
          <w:szCs w:val="24"/>
        </w:rPr>
      </w:pPr>
    </w:p>
    <w:p w14:paraId="4C2174CE" w14:textId="4D41F154" w:rsidR="00E307CC" w:rsidRDefault="00E307CC" w:rsidP="00E307CC">
      <w:pPr>
        <w:ind w:left="432" w:hanging="432"/>
        <w:rPr>
          <w:sz w:val="24"/>
          <w:szCs w:val="24"/>
        </w:rPr>
      </w:pPr>
      <w:r w:rsidRPr="00E307CC">
        <w:rPr>
          <w:sz w:val="24"/>
          <w:szCs w:val="24"/>
        </w:rPr>
        <w:t xml:space="preserve">Wang, X., Oliver, J., Swystun, T., Hanes, C., Erni, S. and Flannigan, M. 2023. Critical fire weather conditions during active fire spread days in Canada. Science of The Total Environment Volume 869, 15 April 2023, 161831. </w:t>
      </w:r>
      <w:hyperlink r:id="rId6" w:history="1">
        <w:r w:rsidRPr="00B7477B">
          <w:rPr>
            <w:rStyle w:val="Hyperlink"/>
            <w:sz w:val="24"/>
            <w:szCs w:val="24"/>
          </w:rPr>
          <w:t>https://doi.org/10.1016/j.scitotenv.2023.161831</w:t>
        </w:r>
      </w:hyperlink>
    </w:p>
    <w:p w14:paraId="75D40C1D" w14:textId="224D3FCB" w:rsidR="00F91615" w:rsidRDefault="00F91615" w:rsidP="00F91615">
      <w:pPr>
        <w:ind w:left="432" w:hanging="432"/>
        <w:rPr>
          <w:sz w:val="24"/>
          <w:szCs w:val="24"/>
        </w:rPr>
      </w:pPr>
      <w:r w:rsidRPr="00F91615">
        <w:rPr>
          <w:sz w:val="24"/>
          <w:szCs w:val="24"/>
        </w:rPr>
        <w:t>Highlights</w:t>
      </w:r>
      <w:r>
        <w:rPr>
          <w:sz w:val="24"/>
          <w:szCs w:val="24"/>
        </w:rPr>
        <w:t xml:space="preserve">: </w:t>
      </w:r>
      <w:r w:rsidRPr="00F91615">
        <w:rPr>
          <w:sz w:val="24"/>
          <w:szCs w:val="24"/>
        </w:rPr>
        <w:t>•</w:t>
      </w:r>
      <w:r>
        <w:rPr>
          <w:sz w:val="24"/>
          <w:szCs w:val="24"/>
        </w:rPr>
        <w:t xml:space="preserve"> </w:t>
      </w:r>
      <w:r w:rsidRPr="00F91615">
        <w:rPr>
          <w:sz w:val="24"/>
          <w:szCs w:val="24"/>
        </w:rPr>
        <w:t>A spread day occurs under less severe fire weather conditions with the increase of latitude.</w:t>
      </w:r>
      <w:r w:rsidR="006229A2">
        <w:rPr>
          <w:sz w:val="24"/>
          <w:szCs w:val="24"/>
        </w:rPr>
        <w:t xml:space="preserve"> </w:t>
      </w:r>
      <w:r w:rsidRPr="00F91615">
        <w:rPr>
          <w:sz w:val="24"/>
          <w:szCs w:val="24"/>
        </w:rPr>
        <w:t>•FFMC is mostly consistent across all spatial scales during a spread day.</w:t>
      </w:r>
      <w:r w:rsidR="006229A2">
        <w:rPr>
          <w:sz w:val="24"/>
          <w:szCs w:val="24"/>
        </w:rPr>
        <w:t xml:space="preserve"> </w:t>
      </w:r>
      <w:r w:rsidRPr="00F91615">
        <w:rPr>
          <w:sz w:val="24"/>
          <w:szCs w:val="24"/>
        </w:rPr>
        <w:t>•FFMC, ISI, and FWI are the best for spread day identification and prediction.</w:t>
      </w:r>
    </w:p>
    <w:p w14:paraId="5D4431ED" w14:textId="4BE25277" w:rsidR="00E307CC" w:rsidRDefault="00E307CC" w:rsidP="00E307CC">
      <w:pPr>
        <w:ind w:left="432" w:hanging="432"/>
        <w:rPr>
          <w:sz w:val="24"/>
          <w:szCs w:val="24"/>
        </w:rPr>
      </w:pPr>
      <w:r w:rsidRPr="00E307CC">
        <w:rPr>
          <w:sz w:val="24"/>
          <w:szCs w:val="24"/>
        </w:rPr>
        <w:t>Abstract</w:t>
      </w:r>
      <w:r>
        <w:rPr>
          <w:sz w:val="24"/>
          <w:szCs w:val="24"/>
        </w:rPr>
        <w:t xml:space="preserve">: </w:t>
      </w:r>
      <w:r w:rsidRPr="00E307CC">
        <w:rPr>
          <w:sz w:val="24"/>
          <w:szCs w:val="24"/>
        </w:rPr>
        <w:t>A spread day is defined as a day in which fires grow a substantial amount of area; such days usually occur during high or extreme fire weather conditions. The identification and prediction of a spread day based on fire weather conditions could help both our understanding of fire regimes as well as forecasting and managing fires operationally. This study explores the relationships between fire weather and spread days in the forested areas of Canada by spatially and temporally matching a daily fire growth database to a daily gridded fire weather database that spans from 2001 to 2019. By examining the correlations between spread day fire weather conditions and location, conifer coverage (%), and elevation, we found that a spread day happens under less severe fire weather conditions as latitude increases for the entire study area and as conifer coverage increases within non-mountainous study areas. In the western mountain areas, however, with increasing conifer coverage more severe fire weather conditions are required for a spread day to occur. Using two modeling approaches, we were able to identify spread day indicators (generalized additive model) and to predict the occurrence of spread days (semi-binomial regression model) by Canadian Ecozones both annually and seasonally. Overall, Fine Fuel Moisture Code (FFMC), Initial Spread Index (ISI), and Fire Weather Index (FWI) performed the best in all models built for spread day identification and prediction but varied depending on the conditions mentioned above. FFMC was the most consistent across all spatial and temporal scales.</w:t>
      </w:r>
    </w:p>
    <w:p w14:paraId="44826A75" w14:textId="5A3AF26E" w:rsidR="006E041C" w:rsidRDefault="006E041C" w:rsidP="00E307CC">
      <w:pPr>
        <w:ind w:left="432" w:hanging="432"/>
        <w:rPr>
          <w:sz w:val="24"/>
          <w:szCs w:val="24"/>
        </w:rPr>
      </w:pPr>
    </w:p>
    <w:p w14:paraId="22733D54" w14:textId="5C7B1CE2" w:rsidR="006E041C" w:rsidRPr="006E041C" w:rsidRDefault="006E041C" w:rsidP="00E307CC">
      <w:pPr>
        <w:ind w:left="432" w:hanging="432"/>
        <w:rPr>
          <w:b/>
          <w:bCs/>
          <w:sz w:val="24"/>
          <w:szCs w:val="24"/>
        </w:rPr>
      </w:pPr>
      <w:r>
        <w:rPr>
          <w:b/>
          <w:bCs/>
          <w:sz w:val="24"/>
          <w:szCs w:val="24"/>
        </w:rPr>
        <w:t>2022</w:t>
      </w:r>
    </w:p>
    <w:p w14:paraId="7CDFBB42" w14:textId="77777777" w:rsidR="00E307CC" w:rsidRDefault="00E307CC" w:rsidP="00E307CC">
      <w:pPr>
        <w:ind w:left="432" w:hanging="432"/>
        <w:rPr>
          <w:sz w:val="24"/>
          <w:szCs w:val="24"/>
        </w:rPr>
      </w:pPr>
    </w:p>
    <w:p w14:paraId="47CE49D6" w14:textId="2E0F3FC4" w:rsidR="00582FF1" w:rsidRDefault="00B333C6" w:rsidP="00F077D7">
      <w:pPr>
        <w:ind w:left="432" w:hanging="432"/>
        <w:rPr>
          <w:sz w:val="24"/>
          <w:szCs w:val="24"/>
        </w:rPr>
      </w:pPr>
      <w:bookmarkStart w:id="0" w:name="_Hlk111449601"/>
      <w:bookmarkStart w:id="1" w:name="_Hlk98143616"/>
      <w:bookmarkStart w:id="2" w:name="_Hlk100584577"/>
      <w:r w:rsidRPr="00ED1688">
        <w:rPr>
          <w:sz w:val="24"/>
          <w:szCs w:val="24"/>
        </w:rPr>
        <w:t>Aftergood, O., Flannigan, M.D. 202</w:t>
      </w:r>
      <w:r>
        <w:rPr>
          <w:sz w:val="24"/>
          <w:szCs w:val="24"/>
        </w:rPr>
        <w:t>2</w:t>
      </w:r>
      <w:r w:rsidRPr="00ED1688">
        <w:rPr>
          <w:sz w:val="24"/>
          <w:szCs w:val="24"/>
        </w:rPr>
        <w:t xml:space="preserve">. Identifying and analyzing spatial and temporal patterns of lightning-ignited wildfires in Western Canada from 1981-2018. Canadian Journal of Forest Research. </w:t>
      </w:r>
      <w:r w:rsidR="002D6A5F" w:rsidRPr="002D6A5F">
        <w:rPr>
          <w:sz w:val="24"/>
          <w:szCs w:val="24"/>
        </w:rPr>
        <w:t>e-First  https://doi.org/10.1139/cjfr-2021-0353</w:t>
      </w:r>
      <w:r w:rsidR="002D6A5F">
        <w:rPr>
          <w:sz w:val="24"/>
          <w:szCs w:val="24"/>
        </w:rPr>
        <w:t>.</w:t>
      </w:r>
      <w:r w:rsidRPr="00ED1688">
        <w:rPr>
          <w:sz w:val="24"/>
          <w:szCs w:val="24"/>
        </w:rPr>
        <w:t xml:space="preserve"> </w:t>
      </w:r>
    </w:p>
    <w:p w14:paraId="0218FEAD" w14:textId="13EEF3BD" w:rsidR="00582FF1" w:rsidRDefault="00582FF1" w:rsidP="00B333C6">
      <w:pPr>
        <w:ind w:left="432" w:hanging="432"/>
        <w:rPr>
          <w:sz w:val="24"/>
          <w:szCs w:val="24"/>
        </w:rPr>
      </w:pPr>
    </w:p>
    <w:p w14:paraId="71AE1974" w14:textId="6F21BE68" w:rsidR="00582FF1" w:rsidRDefault="00582FF1" w:rsidP="00966572">
      <w:pPr>
        <w:ind w:left="432" w:hanging="432"/>
        <w:rPr>
          <w:sz w:val="24"/>
          <w:szCs w:val="24"/>
        </w:rPr>
      </w:pPr>
      <w:r>
        <w:rPr>
          <w:sz w:val="24"/>
          <w:szCs w:val="24"/>
        </w:rPr>
        <w:t>Abstract</w:t>
      </w:r>
      <w:r w:rsidR="00966572">
        <w:rPr>
          <w:sz w:val="24"/>
          <w:szCs w:val="24"/>
        </w:rPr>
        <w:t xml:space="preserve">: </w:t>
      </w:r>
      <w:r w:rsidR="00966572" w:rsidRPr="00966572">
        <w:rPr>
          <w:sz w:val="24"/>
          <w:szCs w:val="24"/>
        </w:rPr>
        <w:t xml:space="preserve">To assess wildfire risk linked to lightning-caused wildfires, the present study tests the spatial- and temporal-scale distribution variability of lightning fires in Western Canada between 1981 and 2018. We examined clustering, trends, distances between clusters, and the fire season. For this study, the nearest </w:t>
      </w:r>
      <w:proofErr w:type="spellStart"/>
      <w:r w:rsidR="00966572" w:rsidRPr="00966572">
        <w:rPr>
          <w:sz w:val="24"/>
          <w:szCs w:val="24"/>
        </w:rPr>
        <w:t>neighbours</w:t>
      </w:r>
      <w:proofErr w:type="spellEnd"/>
      <w:r w:rsidR="00966572" w:rsidRPr="00966572">
        <w:rPr>
          <w:sz w:val="24"/>
          <w:szCs w:val="24"/>
        </w:rPr>
        <w:t xml:space="preserve">, K-function, Moran's I, Mann–Kendall, and the </w:t>
      </w:r>
      <w:proofErr w:type="spellStart"/>
      <w:r w:rsidR="00966572" w:rsidRPr="00966572">
        <w:rPr>
          <w:sz w:val="24"/>
          <w:szCs w:val="24"/>
        </w:rPr>
        <w:t>Getis-ord</w:t>
      </w:r>
      <w:proofErr w:type="spellEnd"/>
      <w:r w:rsidR="00966572" w:rsidRPr="00966572">
        <w:rPr>
          <w:sz w:val="24"/>
          <w:szCs w:val="24"/>
        </w:rPr>
        <w:t xml:space="preserve"> Gi* statistics were used. These statistics were visualized by a Space Time Cube model with a hexagon grid. Lightning-ignited wildfires cluster spatially up to 270 km with an observed overall nonsignificant decreasing trend for the number of fires. Overall, northeastern Alberta, central Saskatchewan, and southeastern British Columbia show clustering of lightning fires. In June, there is significant clustering in northwestern and eastern Alberta, while in July fires cluster in northeastern Alberta and in southeastern British </w:t>
      </w:r>
      <w:r w:rsidR="00966572" w:rsidRPr="00966572">
        <w:rPr>
          <w:sz w:val="24"/>
          <w:szCs w:val="24"/>
        </w:rPr>
        <w:lastRenderedPageBreak/>
        <w:t>Columbia. In August, fire clusters occurred only in southeastern and south-central British Columbia. These results highlight regions that are experiencing persistent lightning fire clustering activity. This provides a focal point to assess wildfire risk to communities and values at risk, while informing local and regional management agencies in preparedness, resource capacity management, and detection. Additionally, it provides a baseline for future research into biophysical modelling of wildfire initiations.</w:t>
      </w:r>
    </w:p>
    <w:p w14:paraId="63C8A6AB" w14:textId="23AED9B8" w:rsidR="00582FF1" w:rsidRDefault="00582FF1" w:rsidP="00B333C6">
      <w:pPr>
        <w:ind w:left="432" w:hanging="432"/>
        <w:rPr>
          <w:sz w:val="24"/>
          <w:szCs w:val="24"/>
        </w:rPr>
      </w:pPr>
    </w:p>
    <w:p w14:paraId="05E33B65" w14:textId="77777777" w:rsidR="00582FF1" w:rsidRDefault="00582FF1" w:rsidP="00B333C6">
      <w:pPr>
        <w:ind w:left="432" w:hanging="432"/>
        <w:rPr>
          <w:sz w:val="24"/>
          <w:szCs w:val="24"/>
        </w:rPr>
      </w:pPr>
    </w:p>
    <w:p w14:paraId="22E1A209" w14:textId="77777777" w:rsidR="00813EC2" w:rsidRDefault="00B333C6" w:rsidP="00813EC2">
      <w:pPr>
        <w:ind w:left="432" w:hanging="432"/>
        <w:rPr>
          <w:sz w:val="24"/>
          <w:szCs w:val="24"/>
        </w:rPr>
      </w:pPr>
      <w:r w:rsidRPr="001565A3">
        <w:rPr>
          <w:sz w:val="24"/>
          <w:szCs w:val="24"/>
        </w:rPr>
        <w:t xml:space="preserve">Coogan, S., Aftergood, O., Flannigan, M. 2021. Human- and lightning-caused wildland fire ignition clusters in British Columbia, Canada. International Journal of Wildland Fire. </w:t>
      </w:r>
      <w:r w:rsidR="00813EC2">
        <w:rPr>
          <w:sz w:val="24"/>
          <w:szCs w:val="24"/>
        </w:rPr>
        <w:t>https://</w:t>
      </w:r>
      <w:r w:rsidR="00813EC2" w:rsidRPr="00E80542">
        <w:t xml:space="preserve"> </w:t>
      </w:r>
      <w:r w:rsidR="00813EC2">
        <w:t>doi:10.1071/WF21177</w:t>
      </w:r>
    </w:p>
    <w:p w14:paraId="4E14B29C" w14:textId="45120072" w:rsidR="00966572" w:rsidRDefault="00966572" w:rsidP="00966572">
      <w:pPr>
        <w:ind w:left="432" w:hanging="432"/>
        <w:rPr>
          <w:sz w:val="24"/>
          <w:szCs w:val="24"/>
        </w:rPr>
      </w:pPr>
      <w:r>
        <w:rPr>
          <w:sz w:val="24"/>
          <w:szCs w:val="24"/>
        </w:rPr>
        <w:t xml:space="preserve"> </w:t>
      </w:r>
    </w:p>
    <w:p w14:paraId="5C0D9C05" w14:textId="5948849F" w:rsidR="00966572" w:rsidRPr="00966572" w:rsidRDefault="00966572" w:rsidP="00966572">
      <w:pPr>
        <w:ind w:left="432" w:hanging="432"/>
        <w:rPr>
          <w:sz w:val="24"/>
          <w:szCs w:val="24"/>
        </w:rPr>
      </w:pPr>
      <w:r w:rsidRPr="00966572">
        <w:rPr>
          <w:sz w:val="24"/>
          <w:szCs w:val="24"/>
        </w:rPr>
        <w:t xml:space="preserve">Plain Language Summary: We used the unsupervised machine learning clustering algorithm HDBSCAN to identify high-density human- and lightning-caused wildland fire ignition clusters in British Columbia, Canada. Generally, human-ignition clusters occurred close to population </w:t>
      </w:r>
      <w:proofErr w:type="spellStart"/>
      <w:r w:rsidRPr="00966572">
        <w:rPr>
          <w:sz w:val="24"/>
          <w:szCs w:val="24"/>
        </w:rPr>
        <w:t>centres</w:t>
      </w:r>
      <w:proofErr w:type="spellEnd"/>
      <w:r w:rsidRPr="00966572">
        <w:rPr>
          <w:sz w:val="24"/>
          <w:szCs w:val="24"/>
        </w:rPr>
        <w:t xml:space="preserve"> and roads, while large lightning-ignition clusters seemed related to ecozones. There were significant differences in fuel types associated with both ignition sources.</w:t>
      </w:r>
    </w:p>
    <w:p w14:paraId="112743B6" w14:textId="77777777" w:rsidR="00966572" w:rsidRPr="00966572" w:rsidRDefault="00966572" w:rsidP="00966572">
      <w:pPr>
        <w:ind w:left="432" w:hanging="432"/>
        <w:rPr>
          <w:sz w:val="24"/>
          <w:szCs w:val="24"/>
        </w:rPr>
      </w:pPr>
    </w:p>
    <w:p w14:paraId="16531B45" w14:textId="77777777" w:rsidR="004D7BE4" w:rsidRDefault="00966572" w:rsidP="004D7BE4">
      <w:pPr>
        <w:ind w:left="432" w:hanging="432"/>
        <w:rPr>
          <w:sz w:val="24"/>
          <w:szCs w:val="24"/>
        </w:rPr>
      </w:pPr>
      <w:r w:rsidRPr="00966572">
        <w:rPr>
          <w:sz w:val="24"/>
          <w:szCs w:val="24"/>
        </w:rPr>
        <w:t xml:space="preserve">Abstract: Wildland fire is a common occurrence in western Canada, with record setting amounts of area burned being recorded in British Columbia (BC) in the past decade. Here, we used the unsupervised machine learning algorithm HDBSCAN to identify high-density clusters of both human- and lightning-caused wildfire ignitions in BC using data from 2006–2020. We found that human-caused ignition clusters tended to occur around population </w:t>
      </w:r>
      <w:proofErr w:type="spellStart"/>
      <w:r w:rsidRPr="00966572">
        <w:rPr>
          <w:sz w:val="24"/>
          <w:szCs w:val="24"/>
        </w:rPr>
        <w:t>centres</w:t>
      </w:r>
      <w:proofErr w:type="spellEnd"/>
      <w:r w:rsidRPr="00966572">
        <w:rPr>
          <w:sz w:val="24"/>
          <w:szCs w:val="24"/>
        </w:rPr>
        <w:t xml:space="preserve">, First Nations communities, roads, and valleys, and were more common in the southern half of the province which is more populated. Lightning-ignition clusters were generally fewer in number and larger in size than human-caused fires for most hyperparameter settings. There were significant differences (X2= 1884.8, </w:t>
      </w:r>
      <w:proofErr w:type="spellStart"/>
      <w:r w:rsidRPr="00966572">
        <w:rPr>
          <w:sz w:val="24"/>
          <w:szCs w:val="24"/>
        </w:rPr>
        <w:t>df</w:t>
      </w:r>
      <w:proofErr w:type="spellEnd"/>
      <w:r w:rsidRPr="00966572">
        <w:rPr>
          <w:sz w:val="24"/>
          <w:szCs w:val="24"/>
        </w:rPr>
        <w:t xml:space="preserve"> = 7, p-value &lt; 2.2e-16) in fuels associated with lightning- versus human-caused ignition clusters, with human-ignition cluster fires being more often found within D1(leafless aspen) and C7 (ponderosas pine and Douglas fir) fuel types. These high-density clusters highlight regions where the greatest densities of both lightning- and human-caused fires have occurred in the province, thereby identifying regions of potential interest to wildland fire managers, researchers, and various communities and industries.</w:t>
      </w:r>
      <w:r w:rsidR="004D7BE4">
        <w:rPr>
          <w:sz w:val="24"/>
          <w:szCs w:val="24"/>
        </w:rPr>
        <w:t xml:space="preserve"> </w:t>
      </w:r>
    </w:p>
    <w:p w14:paraId="676A614D" w14:textId="77777777" w:rsidR="004D7BE4" w:rsidRDefault="004D7BE4" w:rsidP="004D7BE4">
      <w:pPr>
        <w:ind w:left="432" w:hanging="432"/>
        <w:rPr>
          <w:sz w:val="24"/>
          <w:szCs w:val="24"/>
        </w:rPr>
      </w:pPr>
    </w:p>
    <w:p w14:paraId="247DEB37" w14:textId="77777777" w:rsidR="00813EC2" w:rsidRPr="00F03916" w:rsidRDefault="00813EC2" w:rsidP="00813EC2">
      <w:pPr>
        <w:ind w:left="432" w:hanging="432"/>
        <w:rPr>
          <w:sz w:val="24"/>
          <w:szCs w:val="24"/>
        </w:rPr>
      </w:pPr>
      <w:r w:rsidRPr="00F03916">
        <w:rPr>
          <w:sz w:val="24"/>
          <w:szCs w:val="24"/>
        </w:rPr>
        <w:t xml:space="preserve">Chan, X.Y., Robinne, F-N., Parisien, M-A., Wang, X., Fleming, T. and Flannigan, M.2022. Assessment of lake-level fluctuation as an indicator of fire activity in boreal Canada. Ecological Indicators. Volume 145,109611,ISSN 1470-160X, </w:t>
      </w:r>
      <w:hyperlink r:id="rId7" w:history="1">
        <w:r w:rsidRPr="00F03916">
          <w:rPr>
            <w:rStyle w:val="Hyperlink"/>
            <w:color w:val="auto"/>
            <w:sz w:val="24"/>
            <w:szCs w:val="24"/>
          </w:rPr>
          <w:t>https://doi.org/10.1016/j.ecolind.2022.109611</w:t>
        </w:r>
      </w:hyperlink>
    </w:p>
    <w:p w14:paraId="67AEE344" w14:textId="77777777" w:rsidR="00813EC2" w:rsidRPr="00F03916" w:rsidRDefault="00813EC2" w:rsidP="004D7BE4">
      <w:pPr>
        <w:ind w:left="432" w:hanging="432"/>
        <w:rPr>
          <w:sz w:val="24"/>
          <w:szCs w:val="24"/>
        </w:rPr>
      </w:pPr>
    </w:p>
    <w:p w14:paraId="38463BDB" w14:textId="77777777" w:rsidR="00394F60" w:rsidRPr="00F03916" w:rsidRDefault="004D7BE4" w:rsidP="00394F60">
      <w:pPr>
        <w:ind w:left="432" w:hanging="432"/>
        <w:rPr>
          <w:sz w:val="24"/>
          <w:szCs w:val="24"/>
        </w:rPr>
      </w:pPr>
      <w:r w:rsidRPr="00F03916">
        <w:rPr>
          <w:sz w:val="24"/>
          <w:szCs w:val="24"/>
        </w:rPr>
        <w:t xml:space="preserve">Abstract: Fuel moisture content is a highly variable property of wildfire fuels that dictates their potential </w:t>
      </w:r>
      <w:r w:rsidR="00813EC2" w:rsidRPr="00F03916">
        <w:rPr>
          <w:sz w:val="24"/>
          <w:szCs w:val="24"/>
        </w:rPr>
        <w:t>for the</w:t>
      </w:r>
      <w:r w:rsidRPr="00F03916">
        <w:rPr>
          <w:sz w:val="24"/>
          <w:szCs w:val="24"/>
        </w:rPr>
        <w:t xml:space="preserve"> ignition and combustion potentials of wildfire fuels. The Canadian Fire Weather Index (FWI) System—a subset of the established Canadian Forest Fire Danger Rating System—relies solely on weather observations to track fuel moisture and compute indices of fire potential. Ancillary environmental measures, such as lake levels in non-regulated lake systems, may integrate climatic and landscape factors that better reflect environmental moisture deficits and thereby complement the FWI System. Accordingly, we </w:t>
      </w:r>
      <w:r w:rsidRPr="00F03916">
        <w:rPr>
          <w:sz w:val="24"/>
          <w:szCs w:val="24"/>
        </w:rPr>
        <w:lastRenderedPageBreak/>
        <w:t>investigated whether inter-annual variation in lake levels has potential to serve as an indicator of regional fire activity using a quasi-binomial regression approach. This study combines annual measurements of fire activity, lake level, and other climatic variables from the Boreal Shield and Boreal Plain ecozones of Canada from 1980-2019 to determine whether variation in regional area burned can be explained by lake-level fluctuation, and whether this explanatory power differs by ecozone. Results indicated that lake-level fluctuation is a significant predictor of regional area burned for many lakes (28 - 48%). It often performs as well as or better than traditional fire-weather metrics (such as temperature and precipitation), and this relationship is stronger on the Boreal Shield compared to the Boreal Plain. Lake38 level fluctuation provides information on fuel availability unaccounted for by traditional fire-weather metrics, suggesting that this variable could be added to the suite of environmental indicators of regional fire activity in Canada.</w:t>
      </w:r>
      <w:r w:rsidR="00394F60" w:rsidRPr="00F03916">
        <w:rPr>
          <w:sz w:val="24"/>
          <w:szCs w:val="24"/>
        </w:rPr>
        <w:t xml:space="preserve">  </w:t>
      </w:r>
    </w:p>
    <w:p w14:paraId="4DBA8465" w14:textId="77777777" w:rsidR="00394F60" w:rsidRPr="00F03916" w:rsidRDefault="00394F60" w:rsidP="00394F60">
      <w:pPr>
        <w:ind w:left="432" w:hanging="432"/>
        <w:rPr>
          <w:sz w:val="24"/>
          <w:szCs w:val="24"/>
        </w:rPr>
      </w:pPr>
    </w:p>
    <w:p w14:paraId="69D10FF8" w14:textId="2BDE6595" w:rsidR="00394F60" w:rsidRPr="00F03916" w:rsidRDefault="00F03916" w:rsidP="00F03916">
      <w:pPr>
        <w:ind w:left="432" w:hanging="432"/>
        <w:rPr>
          <w:sz w:val="24"/>
          <w:szCs w:val="24"/>
        </w:rPr>
      </w:pPr>
      <w:r w:rsidRPr="00F03916">
        <w:rPr>
          <w:sz w:val="24"/>
          <w:szCs w:val="24"/>
        </w:rPr>
        <w:t xml:space="preserve">Ellis, </w:t>
      </w:r>
      <w:r w:rsidR="00394F60" w:rsidRPr="00F03916">
        <w:rPr>
          <w:sz w:val="24"/>
          <w:szCs w:val="24"/>
        </w:rPr>
        <w:t>T</w:t>
      </w:r>
      <w:r w:rsidRPr="00F03916">
        <w:rPr>
          <w:sz w:val="24"/>
          <w:szCs w:val="24"/>
        </w:rPr>
        <w:t>.</w:t>
      </w:r>
      <w:r w:rsidR="00394F60" w:rsidRPr="00F03916">
        <w:rPr>
          <w:sz w:val="24"/>
          <w:szCs w:val="24"/>
        </w:rPr>
        <w:t xml:space="preserve"> M., Bowman,</w:t>
      </w:r>
      <w:r w:rsidR="00F077D7">
        <w:rPr>
          <w:sz w:val="24"/>
          <w:szCs w:val="24"/>
        </w:rPr>
        <w:t xml:space="preserve"> </w:t>
      </w:r>
      <w:r w:rsidRPr="00F03916">
        <w:rPr>
          <w:sz w:val="24"/>
          <w:szCs w:val="24"/>
        </w:rPr>
        <w:t xml:space="preserve">D., </w:t>
      </w:r>
      <w:r w:rsidR="00394F60" w:rsidRPr="00F03916">
        <w:rPr>
          <w:sz w:val="24"/>
          <w:szCs w:val="24"/>
        </w:rPr>
        <w:t>Jain,</w:t>
      </w:r>
      <w:r w:rsidR="00F077D7">
        <w:rPr>
          <w:sz w:val="24"/>
          <w:szCs w:val="24"/>
        </w:rPr>
        <w:t xml:space="preserve"> </w:t>
      </w:r>
      <w:r w:rsidRPr="00F03916">
        <w:rPr>
          <w:sz w:val="24"/>
          <w:szCs w:val="24"/>
        </w:rPr>
        <w:t xml:space="preserve">P., </w:t>
      </w:r>
      <w:r w:rsidR="00394F60" w:rsidRPr="00F03916">
        <w:rPr>
          <w:sz w:val="24"/>
          <w:szCs w:val="24"/>
        </w:rPr>
        <w:t>Flannigan,</w:t>
      </w:r>
      <w:r w:rsidR="00F077D7">
        <w:rPr>
          <w:sz w:val="24"/>
          <w:szCs w:val="24"/>
        </w:rPr>
        <w:t xml:space="preserve"> </w:t>
      </w:r>
      <w:r w:rsidRPr="00F03916">
        <w:rPr>
          <w:sz w:val="24"/>
          <w:szCs w:val="24"/>
        </w:rPr>
        <w:t xml:space="preserve">D., </w:t>
      </w:r>
      <w:r w:rsidR="00394F60" w:rsidRPr="00F03916">
        <w:rPr>
          <w:sz w:val="24"/>
          <w:szCs w:val="24"/>
        </w:rPr>
        <w:t>Williamson</w:t>
      </w:r>
      <w:r w:rsidRPr="00F03916">
        <w:rPr>
          <w:sz w:val="24"/>
          <w:szCs w:val="24"/>
        </w:rPr>
        <w:t xml:space="preserve">, G. </w:t>
      </w:r>
      <w:r w:rsidR="00394F60" w:rsidRPr="00F03916">
        <w:rPr>
          <w:sz w:val="24"/>
          <w:szCs w:val="24"/>
        </w:rPr>
        <w:t xml:space="preserve">2022. </w:t>
      </w:r>
      <w:r w:rsidRPr="00F03916">
        <w:rPr>
          <w:sz w:val="24"/>
          <w:szCs w:val="24"/>
        </w:rPr>
        <w:t>Global increase in wildfire risk due to climate-driven declines in fuel moisture.</w:t>
      </w:r>
      <w:r w:rsidRPr="00F03916">
        <w:t xml:space="preserve"> </w:t>
      </w:r>
      <w:r w:rsidRPr="00F03916">
        <w:rPr>
          <w:sz w:val="24"/>
          <w:szCs w:val="24"/>
        </w:rPr>
        <w:t>Global Change Biology 28(4):1544-1559 DOI: 10.1111/gcb.16006</w:t>
      </w:r>
    </w:p>
    <w:p w14:paraId="0DB4EEDA" w14:textId="77777777" w:rsidR="00F03916" w:rsidRPr="00F03916" w:rsidRDefault="00F03916" w:rsidP="00F03916">
      <w:pPr>
        <w:ind w:left="432" w:hanging="432"/>
        <w:rPr>
          <w:sz w:val="24"/>
          <w:szCs w:val="24"/>
        </w:rPr>
      </w:pPr>
    </w:p>
    <w:p w14:paraId="658F1559" w14:textId="7AD138AC" w:rsidR="00B333C6" w:rsidRDefault="00394F60" w:rsidP="004D7BE4">
      <w:pPr>
        <w:ind w:left="432" w:hanging="432"/>
        <w:rPr>
          <w:sz w:val="24"/>
          <w:szCs w:val="24"/>
        </w:rPr>
      </w:pPr>
      <w:r w:rsidRPr="00F03916">
        <w:rPr>
          <w:sz w:val="24"/>
          <w:szCs w:val="24"/>
        </w:rPr>
        <w:t xml:space="preserve">Abstract: </w:t>
      </w:r>
      <w:r w:rsidR="00F03916" w:rsidRPr="00F03916">
        <w:rPr>
          <w:sz w:val="24"/>
          <w:szCs w:val="24"/>
        </w:rPr>
        <w:t>There is mounting concern that global wildfire activity is shifting in frequency, intensity, and seasonality in response to climate change. Fuel moisture provides a powerful means of detecting changing fire potential. Here, we use global burned area, weather reanalysis data, and the Canadian fire weather index system to calculate fuel moisture trends for multiscale biogeographic regions across a gradient in vegetation productivity. We quantify the proportion of days in the local fire season between 1979 and 2019, where fuel moisture content is below a critical threshold indicating extreme fire potential. We then associate fuel moisture trends over that period to vegetation productivity and comment on its implications for projected anthropogenic climate change. Overall, there is a strong drying trend across realms, biomes, and the productivity gradient. Even where a wetting trend is observed, this often indicates a trend toward increasing fire activity due to an expected increase in fuel production. The detected trends across the productivity gradient lead us to conclude global fire activity will increase with anthropogenic climate change.</w:t>
      </w:r>
      <w:r w:rsidR="00F03916">
        <w:rPr>
          <w:sz w:val="24"/>
          <w:szCs w:val="24"/>
        </w:rPr>
        <w:t xml:space="preserve"> </w:t>
      </w:r>
    </w:p>
    <w:p w14:paraId="47780669" w14:textId="629AC196" w:rsidR="00F03916" w:rsidRDefault="00F03916" w:rsidP="004D7BE4">
      <w:pPr>
        <w:ind w:left="432" w:hanging="432"/>
        <w:rPr>
          <w:sz w:val="24"/>
          <w:szCs w:val="24"/>
        </w:rPr>
      </w:pPr>
    </w:p>
    <w:p w14:paraId="6601705B" w14:textId="7ADD6D1B" w:rsidR="00F03916" w:rsidRDefault="00F03916" w:rsidP="004D7BE4">
      <w:pPr>
        <w:ind w:left="432" w:hanging="432"/>
        <w:rPr>
          <w:sz w:val="24"/>
          <w:szCs w:val="24"/>
        </w:rPr>
      </w:pPr>
      <w:r w:rsidRPr="00F03916">
        <w:rPr>
          <w:sz w:val="24"/>
          <w:szCs w:val="24"/>
        </w:rPr>
        <w:t xml:space="preserve">Jain, P., Castellanos-Acuna, D., Coogan, S.C.P. et al. Observed increases in extreme fire weather driven by atmospheric humidity and temperature. Nat. </w:t>
      </w:r>
      <w:proofErr w:type="spellStart"/>
      <w:r w:rsidRPr="00F03916">
        <w:rPr>
          <w:sz w:val="24"/>
          <w:szCs w:val="24"/>
        </w:rPr>
        <w:t>Clim</w:t>
      </w:r>
      <w:proofErr w:type="spellEnd"/>
      <w:r w:rsidRPr="00F03916">
        <w:rPr>
          <w:sz w:val="24"/>
          <w:szCs w:val="24"/>
        </w:rPr>
        <w:t xml:space="preserve">. Chang. 12, 63–70 (2022). </w:t>
      </w:r>
      <w:hyperlink r:id="rId8" w:history="1">
        <w:r w:rsidRPr="00600B72">
          <w:rPr>
            <w:rStyle w:val="Hyperlink"/>
            <w:sz w:val="24"/>
            <w:szCs w:val="24"/>
          </w:rPr>
          <w:t>https://doi.org/10.1038/s41558-021-01224-1</w:t>
        </w:r>
      </w:hyperlink>
    </w:p>
    <w:p w14:paraId="284BC7FE" w14:textId="1BAF9727" w:rsidR="00F03916" w:rsidRDefault="00F03916" w:rsidP="004D7BE4">
      <w:pPr>
        <w:ind w:left="432" w:hanging="432"/>
        <w:rPr>
          <w:sz w:val="24"/>
          <w:szCs w:val="24"/>
        </w:rPr>
      </w:pPr>
    </w:p>
    <w:p w14:paraId="3A466DD6" w14:textId="29B489FB" w:rsidR="00F03916" w:rsidRDefault="00F03916" w:rsidP="004D7BE4">
      <w:pPr>
        <w:ind w:left="432" w:hanging="432"/>
        <w:rPr>
          <w:sz w:val="24"/>
          <w:szCs w:val="24"/>
        </w:rPr>
      </w:pPr>
      <w:r>
        <w:rPr>
          <w:sz w:val="24"/>
          <w:szCs w:val="24"/>
        </w:rPr>
        <w:t xml:space="preserve">Abstract: </w:t>
      </w:r>
      <w:r w:rsidRPr="00F03916">
        <w:rPr>
          <w:sz w:val="24"/>
          <w:szCs w:val="24"/>
        </w:rPr>
        <w:t xml:space="preserve">Recent increases in regional wildfire activity have been linked to climate change. Here, we </w:t>
      </w:r>
      <w:proofErr w:type="spellStart"/>
      <w:r w:rsidRPr="00F03916">
        <w:rPr>
          <w:sz w:val="24"/>
          <w:szCs w:val="24"/>
        </w:rPr>
        <w:t>analyse</w:t>
      </w:r>
      <w:proofErr w:type="spellEnd"/>
      <w:r w:rsidRPr="00F03916">
        <w:rPr>
          <w:sz w:val="24"/>
          <w:szCs w:val="24"/>
        </w:rPr>
        <w:t xml:space="preserve"> trends in observed global extreme fire weather and their meteorological drivers from 1979 to 2020 using the ERA5 reanalysis. Trends in annual extreme (95th percentile) values of the fire weather index (FWI95), initial spread index (ISI95) and </w:t>
      </w:r>
      <w:proofErr w:type="spellStart"/>
      <w:r w:rsidRPr="00F03916">
        <w:rPr>
          <w:sz w:val="24"/>
          <w:szCs w:val="24"/>
        </w:rPr>
        <w:t>vapour</w:t>
      </w:r>
      <w:proofErr w:type="spellEnd"/>
      <w:r w:rsidRPr="00F03916">
        <w:rPr>
          <w:sz w:val="24"/>
          <w:szCs w:val="24"/>
        </w:rPr>
        <w:t xml:space="preserve"> pressure deficit (VPD95) varied regionally, with global increases in mean values of 14, 12 and 12%, respectively. Significant increases occurred over a quarter to almost half of the global burnable land mass. Decreasing relative humidity was a driver of over three-quarters of significant increases in FWI95 and ISI95, while increasing temperature was a driver for 40% of significant trends. Trends in VPD95 were predominantly associated with increasing temperature. These trends are likely to continue, as climate change projections suggest global decreases in relative humidity and increases in temperature that may increase future </w:t>
      </w:r>
      <w:r w:rsidRPr="00F03916">
        <w:rPr>
          <w:sz w:val="24"/>
          <w:szCs w:val="24"/>
        </w:rPr>
        <w:lastRenderedPageBreak/>
        <w:t>fire risk where fuels remain abundant.</w:t>
      </w:r>
    </w:p>
    <w:p w14:paraId="0E1E1B35" w14:textId="77777777" w:rsidR="00F03916" w:rsidRPr="00F03916" w:rsidRDefault="00F03916" w:rsidP="004D7BE4">
      <w:pPr>
        <w:ind w:left="432" w:hanging="432"/>
        <w:rPr>
          <w:sz w:val="24"/>
          <w:szCs w:val="24"/>
        </w:rPr>
      </w:pPr>
    </w:p>
    <w:p w14:paraId="3B103F3A" w14:textId="77777777" w:rsidR="006131AD" w:rsidRDefault="006131AD" w:rsidP="00966572">
      <w:pPr>
        <w:ind w:left="432" w:hanging="432"/>
        <w:rPr>
          <w:sz w:val="24"/>
          <w:szCs w:val="24"/>
        </w:rPr>
      </w:pPr>
    </w:p>
    <w:p w14:paraId="3D32D930" w14:textId="3093C300" w:rsidR="00B333C6" w:rsidRDefault="00B333C6" w:rsidP="00B333C6">
      <w:pPr>
        <w:ind w:left="432" w:hanging="432"/>
        <w:rPr>
          <w:rStyle w:val="Hyperlink"/>
          <w:sz w:val="24"/>
          <w:szCs w:val="24"/>
        </w:rPr>
      </w:pPr>
      <w:r w:rsidRPr="006E7A78">
        <w:rPr>
          <w:sz w:val="24"/>
          <w:szCs w:val="24"/>
        </w:rPr>
        <w:t xml:space="preserve">Parisien, M-A., Barber, Q., Flannigan, </w:t>
      </w:r>
      <w:proofErr w:type="gramStart"/>
      <w:r w:rsidRPr="006E7A78">
        <w:rPr>
          <w:sz w:val="24"/>
          <w:szCs w:val="24"/>
        </w:rPr>
        <w:t>M.</w:t>
      </w:r>
      <w:proofErr w:type="gramEnd"/>
      <w:r w:rsidRPr="006E7A78">
        <w:rPr>
          <w:sz w:val="24"/>
          <w:szCs w:val="24"/>
        </w:rPr>
        <w:t xml:space="preserve"> and Jain P. 2022.The Effect of Broadleaf-Tree Greenup on Springtime Wildfire Occurrence in Boreal Canada. Environmental Sciences Proceedings. 2022, 17, 85. </w:t>
      </w:r>
      <w:hyperlink r:id="rId9" w:history="1">
        <w:r w:rsidR="002D6A5F" w:rsidRPr="004845A3">
          <w:rPr>
            <w:rStyle w:val="Hyperlink"/>
            <w:sz w:val="24"/>
            <w:szCs w:val="24"/>
          </w:rPr>
          <w:t>https://doi.org/10.3390/environsciproc2022017085</w:t>
        </w:r>
      </w:hyperlink>
    </w:p>
    <w:p w14:paraId="2FAC9FE8" w14:textId="77777777" w:rsidR="00813EC2" w:rsidRDefault="00813EC2" w:rsidP="00B333C6">
      <w:pPr>
        <w:ind w:left="432" w:hanging="432"/>
        <w:rPr>
          <w:sz w:val="24"/>
          <w:szCs w:val="24"/>
        </w:rPr>
      </w:pPr>
    </w:p>
    <w:p w14:paraId="7DE02716" w14:textId="7EBC8437" w:rsidR="002D6A5F" w:rsidRDefault="002D6A5F" w:rsidP="00B333C6">
      <w:pPr>
        <w:ind w:left="432" w:hanging="432"/>
        <w:rPr>
          <w:sz w:val="24"/>
          <w:szCs w:val="24"/>
        </w:rPr>
      </w:pPr>
      <w:r>
        <w:rPr>
          <w:sz w:val="24"/>
          <w:szCs w:val="24"/>
        </w:rPr>
        <w:t xml:space="preserve">Abstract: </w:t>
      </w:r>
      <w:r w:rsidRPr="002D6A5F">
        <w:rPr>
          <w:sz w:val="24"/>
          <w:szCs w:val="24"/>
        </w:rPr>
        <w:t xml:space="preserve">The broadleaf tree species of the boreal biome of Canada have low flammability compared to conifers, which is in large part due to the high moisture content of their foliage. However, there is a period following snowmelt and prior to leaf budding (i.e., </w:t>
      </w:r>
      <w:proofErr w:type="spellStart"/>
      <w:r w:rsidRPr="002D6A5F">
        <w:rPr>
          <w:sz w:val="24"/>
          <w:szCs w:val="24"/>
        </w:rPr>
        <w:t>greenup</w:t>
      </w:r>
      <w:proofErr w:type="spellEnd"/>
      <w:r w:rsidRPr="002D6A5F">
        <w:rPr>
          <w:sz w:val="24"/>
          <w:szCs w:val="24"/>
        </w:rPr>
        <w:t xml:space="preserve">), termed the ‘spring window’ by fire managers, when these forests are more conducive to fire ignition and spread. The goal of this study was to evaluate the length and variability of the spring window from year to year across ecological regions of boreal Canada and to determine whether it is associated with an increased number of human-caused wildfires. We used remotely sensed descriptions of snow cover and </w:t>
      </w:r>
      <w:proofErr w:type="spellStart"/>
      <w:r w:rsidRPr="002D6A5F">
        <w:rPr>
          <w:sz w:val="24"/>
          <w:szCs w:val="24"/>
        </w:rPr>
        <w:t>greenup</w:t>
      </w:r>
      <w:proofErr w:type="spellEnd"/>
      <w:r w:rsidRPr="002D6A5F">
        <w:rPr>
          <w:sz w:val="24"/>
          <w:szCs w:val="24"/>
        </w:rPr>
        <w:t xml:space="preserve"> to describe the annual spring window for nine ecological regions from 2001 to 2018. Then, we statistically compared the timing of the windows and associated the temporal patterns of fire-conducive weather to human-caused wildfire occurrence. The results show a positive association between the number of human-caused wildfires and the timing of the spring window in only two of the eight regions (the Boreal Plain and Taiga Plain, both in western Canada); however, these are two of the most fire-active areas in the country. A specific set of factors must coincide for regional fire regimes to exhibit a fire-prone spring window: (</w:t>
      </w:r>
      <w:proofErr w:type="spellStart"/>
      <w:r w:rsidRPr="002D6A5F">
        <w:rPr>
          <w:sz w:val="24"/>
          <w:szCs w:val="24"/>
        </w:rPr>
        <w:t>i</w:t>
      </w:r>
      <w:proofErr w:type="spellEnd"/>
      <w:r w:rsidRPr="002D6A5F">
        <w:rPr>
          <w:sz w:val="24"/>
          <w:szCs w:val="24"/>
        </w:rPr>
        <w:t>) a relatively high (&gt;20%) proportion of broadleaf forest cover, (ii) a high load of human ignitions (because lighting is rare in the spring), and (ii) frequent windy and dry weather conditions. Although the fire regimes that are active in the springtime are mostly confined to parts of western Canada at present, other areas of boreal Canada may see an increase in spring wildfires if projected climatic changes are borne out and if a growing number of people settle into boreal wildlands.</w:t>
      </w:r>
    </w:p>
    <w:p w14:paraId="21292DC4" w14:textId="77777777" w:rsidR="006131AD" w:rsidRDefault="006131AD" w:rsidP="00B333C6">
      <w:pPr>
        <w:ind w:left="432" w:hanging="432"/>
        <w:rPr>
          <w:sz w:val="24"/>
          <w:szCs w:val="24"/>
        </w:rPr>
      </w:pPr>
    </w:p>
    <w:p w14:paraId="62C2E8D1" w14:textId="0C7F5702" w:rsidR="00B333C6" w:rsidRDefault="00B333C6" w:rsidP="00B333C6">
      <w:pPr>
        <w:ind w:left="432" w:hanging="432"/>
        <w:rPr>
          <w:rStyle w:val="Hyperlink"/>
          <w:sz w:val="24"/>
          <w:szCs w:val="24"/>
        </w:rPr>
      </w:pPr>
      <w:proofErr w:type="spellStart"/>
      <w:r w:rsidRPr="00F0437F">
        <w:rPr>
          <w:sz w:val="24"/>
          <w:szCs w:val="24"/>
        </w:rPr>
        <w:t>Woolet</w:t>
      </w:r>
      <w:proofErr w:type="spellEnd"/>
      <w:r w:rsidRPr="00F0437F">
        <w:rPr>
          <w:sz w:val="24"/>
          <w:szCs w:val="24"/>
        </w:rPr>
        <w:t>, J., Whitman, E., Parisien, M-A., Thompson, D. K., Flannigan, M.D. and Whitman, T.  202</w:t>
      </w:r>
      <w:r>
        <w:rPr>
          <w:sz w:val="24"/>
          <w:szCs w:val="24"/>
        </w:rPr>
        <w:t>2</w:t>
      </w:r>
      <w:r w:rsidRPr="00F0437F">
        <w:rPr>
          <w:sz w:val="24"/>
          <w:szCs w:val="24"/>
        </w:rPr>
        <w:t xml:space="preserve">. Effects of short-interval reburns in the boreal forest on soil bacterial communities compared to long-interval reburns. FEMS Microbiology Ecology. </w:t>
      </w:r>
      <w:r w:rsidRPr="004719BA">
        <w:rPr>
          <w:sz w:val="24"/>
          <w:szCs w:val="24"/>
        </w:rPr>
        <w:t xml:space="preserve">Volume 98, Issue 8, August 2022, fiac069, </w:t>
      </w:r>
      <w:hyperlink r:id="rId10" w:history="1">
        <w:r w:rsidR="002D6A5F" w:rsidRPr="004845A3">
          <w:rPr>
            <w:rStyle w:val="Hyperlink"/>
            <w:sz w:val="24"/>
            <w:szCs w:val="24"/>
          </w:rPr>
          <w:t>https://doi.org/10.1093/femsec/fiac069</w:t>
        </w:r>
      </w:hyperlink>
    </w:p>
    <w:p w14:paraId="0C39A565" w14:textId="77777777" w:rsidR="00813EC2" w:rsidRDefault="00813EC2" w:rsidP="00B333C6">
      <w:pPr>
        <w:ind w:left="432" w:hanging="432"/>
        <w:rPr>
          <w:sz w:val="24"/>
          <w:szCs w:val="24"/>
        </w:rPr>
      </w:pPr>
    </w:p>
    <w:p w14:paraId="0961F09F" w14:textId="59EE14EE" w:rsidR="002D6A5F" w:rsidRDefault="002D6A5F" w:rsidP="00B333C6">
      <w:pPr>
        <w:ind w:left="432" w:hanging="432"/>
        <w:rPr>
          <w:sz w:val="24"/>
          <w:szCs w:val="24"/>
        </w:rPr>
      </w:pPr>
      <w:r>
        <w:rPr>
          <w:sz w:val="24"/>
          <w:szCs w:val="24"/>
        </w:rPr>
        <w:t xml:space="preserve">Abstract: </w:t>
      </w:r>
      <w:r w:rsidRPr="002D6A5F">
        <w:rPr>
          <w:sz w:val="24"/>
          <w:szCs w:val="24"/>
        </w:rPr>
        <w:t xml:space="preserve">Increasing fire frequency in some biomes is leading to fires burning in close succession, triggering rapid vegetation </w:t>
      </w:r>
      <w:proofErr w:type="gramStart"/>
      <w:r w:rsidRPr="002D6A5F">
        <w:rPr>
          <w:sz w:val="24"/>
          <w:szCs w:val="24"/>
        </w:rPr>
        <w:t>change</w:t>
      </w:r>
      <w:proofErr w:type="gramEnd"/>
      <w:r w:rsidRPr="002D6A5F">
        <w:rPr>
          <w:sz w:val="24"/>
          <w:szCs w:val="24"/>
        </w:rPr>
        <w:t xml:space="preserve"> and altering soil properties. We studied the effects of </w:t>
      </w:r>
      <w:proofErr w:type="gramStart"/>
      <w:r w:rsidRPr="002D6A5F">
        <w:rPr>
          <w:sz w:val="24"/>
          <w:szCs w:val="24"/>
        </w:rPr>
        <w:t>short-interval</w:t>
      </w:r>
      <w:proofErr w:type="gramEnd"/>
      <w:r w:rsidRPr="002D6A5F">
        <w:rPr>
          <w:sz w:val="24"/>
          <w:szCs w:val="24"/>
        </w:rPr>
        <w:t xml:space="preserve"> (SI) reburns on soil bacterial communities of the boreal forest of northwestern Canada using paired sites (n = 44). Both sites in each pair had burned in a recent fire; one site had burned within the previous 20 years before the recent fire (SI reburn) and the other had not. Paired sites were closely matched in </w:t>
      </w:r>
      <w:proofErr w:type="spellStart"/>
      <w:r w:rsidRPr="002D6A5F">
        <w:rPr>
          <w:sz w:val="24"/>
          <w:szCs w:val="24"/>
        </w:rPr>
        <w:t>prefire</w:t>
      </w:r>
      <w:proofErr w:type="spellEnd"/>
      <w:r w:rsidRPr="002D6A5F">
        <w:rPr>
          <w:sz w:val="24"/>
          <w:szCs w:val="24"/>
        </w:rPr>
        <w:t xml:space="preserve"> ecosite characteristics, </w:t>
      </w:r>
      <w:proofErr w:type="spellStart"/>
      <w:r w:rsidRPr="002D6A5F">
        <w:rPr>
          <w:sz w:val="24"/>
          <w:szCs w:val="24"/>
        </w:rPr>
        <w:t>prefire</w:t>
      </w:r>
      <w:proofErr w:type="spellEnd"/>
      <w:r w:rsidRPr="002D6A5F">
        <w:rPr>
          <w:sz w:val="24"/>
          <w:szCs w:val="24"/>
        </w:rPr>
        <w:t xml:space="preserve"> tree species composition, and stand structure. We hypothesized that there would be a significant effect of short vs. long fire-free intervals on community composition and that richness would not be consistently different between paired sites. We found that </w:t>
      </w:r>
      <w:proofErr w:type="spellStart"/>
      <w:r w:rsidRPr="002D6A5F">
        <w:rPr>
          <w:sz w:val="24"/>
          <w:szCs w:val="24"/>
        </w:rPr>
        <w:t>Blastococcus</w:t>
      </w:r>
      <w:proofErr w:type="spellEnd"/>
      <w:r w:rsidRPr="002D6A5F">
        <w:rPr>
          <w:sz w:val="24"/>
          <w:szCs w:val="24"/>
        </w:rPr>
        <w:t xml:space="preserve"> sp. was consistently enriched in SI reburns, indicating its role as a strongly ‘</w:t>
      </w:r>
      <w:proofErr w:type="spellStart"/>
      <w:r w:rsidRPr="002D6A5F">
        <w:rPr>
          <w:sz w:val="24"/>
          <w:szCs w:val="24"/>
        </w:rPr>
        <w:t>pyrophilous</w:t>
      </w:r>
      <w:proofErr w:type="spellEnd"/>
      <w:r w:rsidRPr="002D6A5F">
        <w:rPr>
          <w:sz w:val="24"/>
          <w:szCs w:val="24"/>
        </w:rPr>
        <w:t xml:space="preserve">’ bacterium. </w:t>
      </w:r>
      <w:proofErr w:type="spellStart"/>
      <w:r w:rsidRPr="002D6A5F">
        <w:rPr>
          <w:sz w:val="24"/>
          <w:szCs w:val="24"/>
        </w:rPr>
        <w:t>Caballeronia</w:t>
      </w:r>
      <w:proofErr w:type="spellEnd"/>
      <w:r w:rsidRPr="002D6A5F">
        <w:rPr>
          <w:sz w:val="24"/>
          <w:szCs w:val="24"/>
        </w:rPr>
        <w:t xml:space="preserve"> </w:t>
      </w:r>
      <w:proofErr w:type="spellStart"/>
      <w:r w:rsidRPr="002D6A5F">
        <w:rPr>
          <w:sz w:val="24"/>
          <w:szCs w:val="24"/>
        </w:rPr>
        <w:t>sordidicola</w:t>
      </w:r>
      <w:proofErr w:type="spellEnd"/>
      <w:r w:rsidRPr="002D6A5F">
        <w:rPr>
          <w:sz w:val="24"/>
          <w:szCs w:val="24"/>
        </w:rPr>
        <w:t xml:space="preserve"> was consistently depleted in SI reburns. The depletion of this endophytic diazotroph raises questions about whether this is </w:t>
      </w:r>
      <w:r w:rsidRPr="002D6A5F">
        <w:rPr>
          <w:sz w:val="24"/>
          <w:szCs w:val="24"/>
        </w:rPr>
        <w:lastRenderedPageBreak/>
        <w:t>contributing to—or merely reflects—poor conifer seedling recolonization post-fire at SI reburns. While SI reburns had no significant effect on richness, dissimilarity between short- and long-interval pairs was significantly correlated with difference in soil pH, and there were small significant changes in overall community composition.</w:t>
      </w:r>
    </w:p>
    <w:p w14:paraId="1DA5DA83" w14:textId="77777777" w:rsidR="006131AD" w:rsidRDefault="006131AD" w:rsidP="00B333C6">
      <w:pPr>
        <w:ind w:left="432" w:hanging="432"/>
        <w:rPr>
          <w:sz w:val="24"/>
          <w:szCs w:val="24"/>
        </w:rPr>
      </w:pPr>
    </w:p>
    <w:p w14:paraId="6A6A86B8" w14:textId="1A8AD9FA" w:rsidR="00B333C6" w:rsidRDefault="00B333C6" w:rsidP="00B333C6">
      <w:pPr>
        <w:ind w:left="432" w:hanging="432"/>
        <w:rPr>
          <w:sz w:val="24"/>
          <w:szCs w:val="24"/>
        </w:rPr>
      </w:pPr>
      <w:r w:rsidRPr="00BC057D">
        <w:rPr>
          <w:sz w:val="24"/>
          <w:szCs w:val="24"/>
        </w:rPr>
        <w:t>Campos-Ruiz,</w:t>
      </w:r>
      <w:r>
        <w:rPr>
          <w:sz w:val="24"/>
          <w:szCs w:val="24"/>
        </w:rPr>
        <w:t xml:space="preserve"> </w:t>
      </w:r>
      <w:r w:rsidRPr="00BC057D">
        <w:rPr>
          <w:sz w:val="24"/>
          <w:szCs w:val="24"/>
        </w:rPr>
        <w:t>R., Parisien,</w:t>
      </w:r>
      <w:r>
        <w:rPr>
          <w:sz w:val="24"/>
          <w:szCs w:val="24"/>
        </w:rPr>
        <w:t xml:space="preserve"> </w:t>
      </w:r>
      <w:r w:rsidRPr="00BC057D">
        <w:rPr>
          <w:sz w:val="24"/>
          <w:szCs w:val="24"/>
        </w:rPr>
        <w:t>M-A., Flannigan, M.D. 202</w:t>
      </w:r>
      <w:r>
        <w:rPr>
          <w:sz w:val="24"/>
          <w:szCs w:val="24"/>
        </w:rPr>
        <w:t>2</w:t>
      </w:r>
      <w:r w:rsidRPr="00BC057D">
        <w:rPr>
          <w:sz w:val="24"/>
          <w:szCs w:val="24"/>
        </w:rPr>
        <w:t xml:space="preserve">. Physicochemical characteristics controlling the flammability of live Pinus banksiana needles in central Alberta, Canada. International Journal of Wildland Fire. </w:t>
      </w:r>
      <w:r w:rsidRPr="00622DAA">
        <w:rPr>
          <w:sz w:val="24"/>
          <w:szCs w:val="24"/>
        </w:rPr>
        <w:t>31, 857-870.https://doi.org/10.1071/WF22008</w:t>
      </w:r>
    </w:p>
    <w:p w14:paraId="5BD90DD5" w14:textId="77777777" w:rsidR="00813EC2" w:rsidRDefault="00813EC2" w:rsidP="00B333C6">
      <w:pPr>
        <w:ind w:left="432" w:hanging="432"/>
        <w:rPr>
          <w:sz w:val="24"/>
          <w:szCs w:val="24"/>
        </w:rPr>
      </w:pPr>
    </w:p>
    <w:p w14:paraId="2E2D3961" w14:textId="7001FED6" w:rsidR="002D6A5F" w:rsidRDefault="002D6A5F" w:rsidP="00B333C6">
      <w:pPr>
        <w:ind w:left="432" w:hanging="432"/>
        <w:rPr>
          <w:sz w:val="24"/>
          <w:szCs w:val="24"/>
        </w:rPr>
      </w:pPr>
      <w:r>
        <w:rPr>
          <w:sz w:val="24"/>
          <w:szCs w:val="24"/>
        </w:rPr>
        <w:t xml:space="preserve">Abstract: </w:t>
      </w:r>
      <w:r w:rsidRPr="002D6A5F">
        <w:rPr>
          <w:sz w:val="24"/>
          <w:szCs w:val="24"/>
        </w:rPr>
        <w:t xml:space="preserve">Background. Few studies have focused on the integral assessment of live fuel flammability in the boreal forest. Aims. We aimed to examine the flammability of living needles of jack pine (Pinus banksiana) as </w:t>
      </w:r>
      <w:proofErr w:type="spellStart"/>
      <w:r w:rsidRPr="002D6A5F">
        <w:rPr>
          <w:sz w:val="24"/>
          <w:szCs w:val="24"/>
        </w:rPr>
        <w:t>characterised</w:t>
      </w:r>
      <w:proofErr w:type="spellEnd"/>
      <w:r w:rsidRPr="002D6A5F">
        <w:rPr>
          <w:sz w:val="24"/>
          <w:szCs w:val="24"/>
        </w:rPr>
        <w:t xml:space="preserve"> by their form, moisture and chemical content at different ages and times of the year. Methods. With a calorimeter and open flame, we estimated needle ignitability, consumption rate, maximum speed and amount of energy released. We measured their form, </w:t>
      </w:r>
      <w:proofErr w:type="gramStart"/>
      <w:r w:rsidRPr="002D6A5F">
        <w:rPr>
          <w:sz w:val="24"/>
          <w:szCs w:val="24"/>
        </w:rPr>
        <w:t>moisture</w:t>
      </w:r>
      <w:proofErr w:type="gramEnd"/>
      <w:r w:rsidRPr="002D6A5F">
        <w:rPr>
          <w:sz w:val="24"/>
          <w:szCs w:val="24"/>
        </w:rPr>
        <w:t xml:space="preserve"> and chemical content. Key results. Needle form has a major effect on ignitability, whereas chemical composition primarily influences the amount and rate of energy release. Needles &lt;1 year old are the least flammable; they are rounder and voluminous, with higher moisture and nitrogen con</w:t>
      </w:r>
      <w:r w:rsidRPr="002D6A5F">
        <w:rPr>
          <w:rFonts w:hint="eastAsia"/>
          <w:sz w:val="24"/>
          <w:szCs w:val="24"/>
        </w:rPr>
        <w:t xml:space="preserve">tent. Needles </w:t>
      </w:r>
      <w:r w:rsidRPr="002D6A5F">
        <w:rPr>
          <w:rFonts w:hint="eastAsia"/>
          <w:sz w:val="24"/>
          <w:szCs w:val="24"/>
        </w:rPr>
        <w:t>≥</w:t>
      </w:r>
      <w:r w:rsidRPr="002D6A5F">
        <w:rPr>
          <w:rFonts w:hint="eastAsia"/>
          <w:sz w:val="24"/>
          <w:szCs w:val="24"/>
        </w:rPr>
        <w:t>1 year old are more flammable; they are drier, more curved, thinner, longer, and contain more carbon and terpenes. Needles release more energy during the early growing season, when starch and lipids are at their peak concentrations. Conclusi</w:t>
      </w:r>
      <w:r w:rsidRPr="002D6A5F">
        <w:rPr>
          <w:sz w:val="24"/>
          <w:szCs w:val="24"/>
        </w:rPr>
        <w:t xml:space="preserve">ons. Moisture content is not the major factor affecting the flammability of jack pine live needles; physicochemical changes specific to age and month of collection are the most influential factors. Implications. Assessing the multi-faceted properties of live fuels flammability will help to comprehend stand- and landscape-scale fire </w:t>
      </w:r>
      <w:proofErr w:type="spellStart"/>
      <w:r w:rsidRPr="002D6A5F">
        <w:rPr>
          <w:sz w:val="24"/>
          <w:szCs w:val="24"/>
        </w:rPr>
        <w:t>behaviour</w:t>
      </w:r>
      <w:proofErr w:type="spellEnd"/>
      <w:r w:rsidRPr="002D6A5F">
        <w:rPr>
          <w:sz w:val="24"/>
          <w:szCs w:val="24"/>
        </w:rPr>
        <w:t xml:space="preserve">. </w:t>
      </w:r>
    </w:p>
    <w:p w14:paraId="179A3D93" w14:textId="77777777" w:rsidR="00A07092" w:rsidRDefault="00A07092" w:rsidP="00B333C6">
      <w:pPr>
        <w:ind w:left="432" w:hanging="432"/>
        <w:rPr>
          <w:sz w:val="24"/>
          <w:szCs w:val="24"/>
        </w:rPr>
      </w:pPr>
    </w:p>
    <w:p w14:paraId="13BF3729" w14:textId="30F47F31" w:rsidR="00B333C6" w:rsidRDefault="00B333C6" w:rsidP="00B333C6">
      <w:pPr>
        <w:ind w:left="432" w:hanging="432"/>
        <w:rPr>
          <w:rStyle w:val="Hyperlink"/>
          <w:sz w:val="24"/>
          <w:szCs w:val="24"/>
        </w:rPr>
      </w:pPr>
      <w:r w:rsidRPr="0043338D">
        <w:rPr>
          <w:sz w:val="24"/>
          <w:szCs w:val="24"/>
        </w:rPr>
        <w:t xml:space="preserve">Sharma, A. R., Jain, P., Abatzoglou, J. T., &amp; Flannigan, M. 2022. Persistent Positive Anomalies in Geopotential Heights Promote Wildfires in Western North America, Journal of Climate, 35(19), 2867-2884. Retrieved Oct 3, 2022, </w:t>
      </w:r>
      <w:r w:rsidRPr="0070632F">
        <w:rPr>
          <w:sz w:val="24"/>
          <w:szCs w:val="24"/>
        </w:rPr>
        <w:t xml:space="preserve">DOI: </w:t>
      </w:r>
      <w:hyperlink r:id="rId11" w:history="1">
        <w:r w:rsidR="002D6A5F" w:rsidRPr="004845A3">
          <w:rPr>
            <w:rStyle w:val="Hyperlink"/>
            <w:sz w:val="24"/>
            <w:szCs w:val="24"/>
          </w:rPr>
          <w:t>https://doi.org/10.1175/JCLI-D-21-0926.1</w:t>
        </w:r>
      </w:hyperlink>
    </w:p>
    <w:p w14:paraId="2EC05A56" w14:textId="77777777" w:rsidR="00813EC2" w:rsidRDefault="00813EC2" w:rsidP="00B333C6">
      <w:pPr>
        <w:ind w:left="432" w:hanging="432"/>
        <w:rPr>
          <w:sz w:val="24"/>
          <w:szCs w:val="24"/>
        </w:rPr>
      </w:pPr>
    </w:p>
    <w:p w14:paraId="4CB3740D" w14:textId="09BF1FAA" w:rsidR="00A07092" w:rsidRPr="00A07092" w:rsidRDefault="00A07092" w:rsidP="00A07092">
      <w:pPr>
        <w:ind w:left="432" w:hanging="432"/>
        <w:rPr>
          <w:sz w:val="24"/>
          <w:szCs w:val="24"/>
        </w:rPr>
      </w:pPr>
      <w:r w:rsidRPr="00A07092">
        <w:rPr>
          <w:sz w:val="24"/>
          <w:szCs w:val="24"/>
        </w:rPr>
        <w:t>Abstract</w:t>
      </w:r>
      <w:r>
        <w:rPr>
          <w:sz w:val="24"/>
          <w:szCs w:val="24"/>
        </w:rPr>
        <w:t xml:space="preserve">: </w:t>
      </w:r>
      <w:r w:rsidRPr="00A07092">
        <w:rPr>
          <w:sz w:val="24"/>
          <w:szCs w:val="24"/>
        </w:rPr>
        <w:t xml:space="preserve">During summer, persistent positive anomalies (PPAs) of </w:t>
      </w:r>
      <w:proofErr w:type="spellStart"/>
      <w:r w:rsidRPr="00A07092">
        <w:rPr>
          <w:sz w:val="24"/>
          <w:szCs w:val="24"/>
        </w:rPr>
        <w:t>midtropospheric</w:t>
      </w:r>
      <w:proofErr w:type="spellEnd"/>
      <w:r w:rsidRPr="00A07092">
        <w:rPr>
          <w:sz w:val="24"/>
          <w:szCs w:val="24"/>
        </w:rPr>
        <w:t xml:space="preserve"> geopotential heights in North America are often associated with extreme weather, including heatwaves. We evaluate the link between prolonged summertime PPAs in 500-hPa geopotential heights and wildfire activity across western North America and examine temporal trends in PPA characteristics. On average, 17% of May–September days experience PPA events over the study domain. Large fires (burned area &gt; 500 ha) were 7 times as likely to start during a PPA, with approximately 40% of these fires’ ignitions coincident with PPA events. A positive correlation exists between the fraction of May–September PPA days and burned area for most of the study domain. Additionally, the presence of a PPA exerts greater influence on fire ignition and burned area in higher latitudes than lower latitudes of western North America. We find a statistically significant expansion in the spatial extent of PPA events during 1979–2020. The observed expansion of the PPAs is likely due to thermodynamic changes in midlatitude synoptic patterns. These findings may improve our understanding of the connections between PPA events and wildfires in western North America, enhance the short-term predictability of wildfire events, and have important implications for increased fire risk in a warming climate.</w:t>
      </w:r>
    </w:p>
    <w:p w14:paraId="1B77F309" w14:textId="77777777" w:rsidR="00A07092" w:rsidRPr="00A07092" w:rsidRDefault="00A07092" w:rsidP="00A07092">
      <w:pPr>
        <w:ind w:left="432" w:hanging="432"/>
        <w:rPr>
          <w:sz w:val="24"/>
          <w:szCs w:val="24"/>
        </w:rPr>
      </w:pPr>
    </w:p>
    <w:p w14:paraId="761E6453" w14:textId="20978555" w:rsidR="00A07092" w:rsidRPr="00A07092" w:rsidRDefault="00A07092" w:rsidP="00A07092">
      <w:pPr>
        <w:ind w:left="432" w:hanging="432"/>
        <w:rPr>
          <w:sz w:val="24"/>
          <w:szCs w:val="24"/>
        </w:rPr>
      </w:pPr>
      <w:r w:rsidRPr="00A07092">
        <w:rPr>
          <w:sz w:val="24"/>
          <w:szCs w:val="24"/>
        </w:rPr>
        <w:t>Significance Statement</w:t>
      </w:r>
      <w:r>
        <w:rPr>
          <w:sz w:val="24"/>
          <w:szCs w:val="24"/>
        </w:rPr>
        <w:t xml:space="preserve">: </w:t>
      </w:r>
      <w:r w:rsidRPr="00A07092">
        <w:rPr>
          <w:sz w:val="24"/>
          <w:szCs w:val="24"/>
        </w:rPr>
        <w:t xml:space="preserve">Persistent positive anomalies (PPAs) of the upper air atmospheric flow, a slow progression of planetary waves, are synoptic-scale patterns that cause heatwaves and contribute to wildfire activity. We seek to understand how these events relate to fire weather and fire activity over western North America. The presence of PPA events increases the likelihood of fire ignition by a factor of 7, with higher likelihood over northern regions. The mean area of the PPA events has grown significantly in recent decades, exposing larger areas and populations to increased fire risks. These results improve our understanding of the connections between upper air atmospheric patterns and wildfires, signal how it may change in future warmer climate and </w:t>
      </w:r>
      <w:r w:rsidR="00813EC2" w:rsidRPr="00A07092">
        <w:rPr>
          <w:sz w:val="24"/>
          <w:szCs w:val="24"/>
        </w:rPr>
        <w:t>scenarios and</w:t>
      </w:r>
      <w:r w:rsidRPr="00A07092">
        <w:rPr>
          <w:sz w:val="24"/>
          <w:szCs w:val="24"/>
        </w:rPr>
        <w:t xml:space="preserve"> enhance the near-future predictability of fire events in this region.</w:t>
      </w:r>
    </w:p>
    <w:p w14:paraId="06FBC51C" w14:textId="77777777" w:rsidR="00A07092" w:rsidRPr="00A07092" w:rsidRDefault="00A07092" w:rsidP="00A07092">
      <w:pPr>
        <w:ind w:left="432" w:hanging="432"/>
        <w:rPr>
          <w:sz w:val="24"/>
          <w:szCs w:val="24"/>
        </w:rPr>
      </w:pPr>
    </w:p>
    <w:p w14:paraId="4720EA1A" w14:textId="77777777" w:rsidR="00A07092" w:rsidRPr="00A07092" w:rsidRDefault="00A07092" w:rsidP="00A07092">
      <w:pPr>
        <w:ind w:left="432" w:hanging="432"/>
        <w:rPr>
          <w:sz w:val="24"/>
          <w:szCs w:val="24"/>
        </w:rPr>
      </w:pPr>
    </w:p>
    <w:bookmarkEnd w:id="0"/>
    <w:p w14:paraId="29B3CC1B" w14:textId="0DEBCC8A" w:rsidR="00B333C6" w:rsidRDefault="00B333C6" w:rsidP="00B333C6">
      <w:pPr>
        <w:ind w:left="432" w:hanging="432"/>
        <w:rPr>
          <w:sz w:val="24"/>
          <w:szCs w:val="24"/>
        </w:rPr>
      </w:pPr>
      <w:proofErr w:type="spellStart"/>
      <w:r w:rsidRPr="00AC6F9E">
        <w:rPr>
          <w:sz w:val="24"/>
          <w:szCs w:val="24"/>
        </w:rPr>
        <w:t>Tepley</w:t>
      </w:r>
      <w:proofErr w:type="spellEnd"/>
      <w:r w:rsidRPr="00AC6F9E">
        <w:rPr>
          <w:sz w:val="24"/>
          <w:szCs w:val="24"/>
        </w:rPr>
        <w:t>, A. J., Parisien1, M-A., Wang, X., Oliver, J. and Flannigan, M.D..202</w:t>
      </w:r>
      <w:r>
        <w:rPr>
          <w:sz w:val="24"/>
          <w:szCs w:val="24"/>
        </w:rPr>
        <w:t>2</w:t>
      </w:r>
      <w:r w:rsidRPr="00AC6F9E">
        <w:rPr>
          <w:sz w:val="24"/>
          <w:szCs w:val="24"/>
        </w:rPr>
        <w:t>. Wildfire evacuation patterns and syndromes across Canada’s forested regions. Ecosphere.</w:t>
      </w:r>
      <w:r w:rsidR="006131AD" w:rsidRPr="006131AD">
        <w:t xml:space="preserve"> </w:t>
      </w:r>
      <w:bookmarkStart w:id="3" w:name="_Hlk116892679"/>
      <w:r w:rsidR="006131AD">
        <w:rPr>
          <w:sz w:val="24"/>
          <w:szCs w:val="24"/>
        </w:rPr>
        <w:fldChar w:fldCharType="begin"/>
      </w:r>
      <w:r w:rsidR="006131AD">
        <w:rPr>
          <w:sz w:val="24"/>
          <w:szCs w:val="24"/>
        </w:rPr>
        <w:instrText xml:space="preserve"> HYPERLINK "</w:instrText>
      </w:r>
      <w:r w:rsidR="006131AD" w:rsidRPr="006131AD">
        <w:rPr>
          <w:sz w:val="24"/>
          <w:szCs w:val="24"/>
        </w:rPr>
        <w:instrText>https://doi.org/10.1002/ecs2.4255</w:instrText>
      </w:r>
      <w:r w:rsidR="006131AD">
        <w:rPr>
          <w:sz w:val="24"/>
          <w:szCs w:val="24"/>
        </w:rPr>
        <w:instrText xml:space="preserve">" </w:instrText>
      </w:r>
      <w:r w:rsidR="006131AD">
        <w:rPr>
          <w:sz w:val="24"/>
          <w:szCs w:val="24"/>
        </w:rPr>
      </w:r>
      <w:r w:rsidR="006131AD">
        <w:rPr>
          <w:sz w:val="24"/>
          <w:szCs w:val="24"/>
        </w:rPr>
        <w:fldChar w:fldCharType="separate"/>
      </w:r>
      <w:r w:rsidR="006131AD" w:rsidRPr="004845A3">
        <w:rPr>
          <w:rStyle w:val="Hyperlink"/>
          <w:sz w:val="24"/>
          <w:szCs w:val="24"/>
        </w:rPr>
        <w:t>https://doi.org/10.1002/ecs2.4255</w:t>
      </w:r>
      <w:r w:rsidR="006131AD">
        <w:rPr>
          <w:sz w:val="24"/>
          <w:szCs w:val="24"/>
        </w:rPr>
        <w:fldChar w:fldCharType="end"/>
      </w:r>
      <w:r w:rsidRPr="00AC6F9E">
        <w:rPr>
          <w:sz w:val="24"/>
          <w:szCs w:val="24"/>
        </w:rPr>
        <w:t>.</w:t>
      </w:r>
      <w:bookmarkEnd w:id="3"/>
    </w:p>
    <w:p w14:paraId="2A128195" w14:textId="77777777" w:rsidR="00F077D7" w:rsidRDefault="00F077D7" w:rsidP="00B333C6">
      <w:pPr>
        <w:ind w:left="432" w:hanging="432"/>
        <w:rPr>
          <w:sz w:val="24"/>
          <w:szCs w:val="24"/>
        </w:rPr>
      </w:pPr>
    </w:p>
    <w:p w14:paraId="5C011DBE" w14:textId="2C20A343" w:rsidR="006131AD" w:rsidRDefault="006131AD" w:rsidP="006131AD">
      <w:pPr>
        <w:ind w:left="432" w:hanging="432"/>
        <w:rPr>
          <w:sz w:val="24"/>
          <w:szCs w:val="24"/>
        </w:rPr>
      </w:pPr>
      <w:r w:rsidRPr="006131AD">
        <w:rPr>
          <w:sz w:val="24"/>
          <w:szCs w:val="24"/>
        </w:rPr>
        <w:t>Abstract</w:t>
      </w:r>
      <w:r>
        <w:rPr>
          <w:sz w:val="24"/>
          <w:szCs w:val="24"/>
        </w:rPr>
        <w:t xml:space="preserve">: </w:t>
      </w:r>
      <w:r w:rsidRPr="006131AD">
        <w:rPr>
          <w:sz w:val="24"/>
          <w:szCs w:val="24"/>
        </w:rPr>
        <w:t xml:space="preserve">Human exposure to wildfire is increasing in many regions globally—a trend likely to continue as climate change drives increases in wildfire activity and human populations continue to expand into fire-prone landscapes. In Canada, this trend is reflected by a steady increase in the annual number of wildfire evacuations since the 1980s. Evacuations can be costly and cause severe stress, even when homes remain undamaged. Because many factors driving community vulnerability are likely correlated, classifying at-risk communities into groups whose members share common drivers of wildfire vulnerability will be helpful in identifying the key wildfire evacuation “syndromes” that are repeated in different parts of the landscape. Understanding these syndromes will aid in anticipating and mitigating the effects of future fire exposure. Here, we classify the populated places across Canada's forested regions into 19 groups using variables describing their potential vulnerability to wildfire, including the surrounding land cover, land use and infrastructure, and the local fire regime. Then, we evaluate the utility of these groups by comparing actual wildfire exposure among the groups using a unique dataset of 1043 wildfire evacuations from 1980 to 2019. We identified three main evacuation syndromes that represent 79% of all evacuations and are distinct in their geographic distribution, the characteristics of the fires that drove the evacuations, the communities exposed, and the likely mode of evacuation. In remote areas dominated by conifer forest, evacuations were driven primarily by lightning-ignited fires in the summer. Exposed communities typically lacked access to the road network, making it important to plan for evacuation by air. In less remote </w:t>
      </w:r>
      <w:proofErr w:type="spellStart"/>
      <w:r w:rsidRPr="006131AD">
        <w:rPr>
          <w:sz w:val="24"/>
          <w:szCs w:val="24"/>
        </w:rPr>
        <w:t>mixedwood</w:t>
      </w:r>
      <w:proofErr w:type="spellEnd"/>
      <w:r w:rsidRPr="006131AD">
        <w:rPr>
          <w:sz w:val="24"/>
          <w:szCs w:val="24"/>
        </w:rPr>
        <w:t xml:space="preserve"> forest areas, evacuations were driven largely by human-ignited fires in the spring, and most communities had access to major roads. In interior British Columbia, evacuations were mainly in the summer and driven by both lightning- and human-ignited fires. These areas experienced the greatest increase in evacuation frequency over the last two decades, reflecting the local trend of increasing wildfire activity. These differences highlight how the major risk factors vary spatially across the forested regions and temporally over the fire season—knowledge that will facilitate more effective planning for future fire seasons.</w:t>
      </w:r>
    </w:p>
    <w:p w14:paraId="7E1F95CF" w14:textId="77777777" w:rsidR="00A07092" w:rsidRDefault="00A07092" w:rsidP="00B333C6">
      <w:pPr>
        <w:ind w:left="432" w:hanging="432"/>
        <w:rPr>
          <w:sz w:val="24"/>
          <w:szCs w:val="24"/>
        </w:rPr>
      </w:pPr>
    </w:p>
    <w:p w14:paraId="71A9E1BA" w14:textId="6FE2D236" w:rsidR="00B333C6" w:rsidRDefault="00B333C6" w:rsidP="00B333C6">
      <w:pPr>
        <w:ind w:left="432" w:hanging="432"/>
        <w:rPr>
          <w:sz w:val="24"/>
          <w:szCs w:val="24"/>
        </w:rPr>
      </w:pPr>
      <w:r w:rsidRPr="001513EE">
        <w:rPr>
          <w:sz w:val="24"/>
          <w:szCs w:val="24"/>
        </w:rPr>
        <w:t xml:space="preserve">Wang, X., Swystun, T and Flannigan, M.D. 2022. Future wildfire extent and frequency </w:t>
      </w:r>
      <w:r w:rsidRPr="001513EE">
        <w:rPr>
          <w:sz w:val="24"/>
          <w:szCs w:val="24"/>
        </w:rPr>
        <w:lastRenderedPageBreak/>
        <w:t>determined by the longest fire-conducive spell. Science of the Total Environment</w:t>
      </w:r>
      <w:r>
        <w:rPr>
          <w:sz w:val="24"/>
          <w:szCs w:val="24"/>
        </w:rPr>
        <w:t xml:space="preserve">. </w:t>
      </w:r>
      <w:hyperlink r:id="rId12" w:history="1">
        <w:r w:rsidRPr="00287DDB">
          <w:rPr>
            <w:rStyle w:val="Hyperlink"/>
            <w:sz w:val="24"/>
            <w:szCs w:val="24"/>
          </w:rPr>
          <w:t>https://doi.org/10.1016/j.scitotenv.2022.154752</w:t>
        </w:r>
      </w:hyperlink>
      <w:r>
        <w:rPr>
          <w:sz w:val="24"/>
          <w:szCs w:val="24"/>
        </w:rPr>
        <w:t xml:space="preserve"> </w:t>
      </w:r>
    </w:p>
    <w:p w14:paraId="6BA754A1" w14:textId="77777777" w:rsidR="00813EC2" w:rsidRDefault="00813EC2" w:rsidP="00B333C6">
      <w:pPr>
        <w:ind w:left="432" w:hanging="432"/>
        <w:rPr>
          <w:sz w:val="24"/>
          <w:szCs w:val="24"/>
        </w:rPr>
      </w:pPr>
    </w:p>
    <w:p w14:paraId="66A47CE0" w14:textId="407FD79E" w:rsidR="00A07092" w:rsidRDefault="00A07092" w:rsidP="00A07092">
      <w:pPr>
        <w:ind w:left="432" w:hanging="432"/>
        <w:rPr>
          <w:sz w:val="24"/>
          <w:szCs w:val="24"/>
        </w:rPr>
      </w:pPr>
      <w:r w:rsidRPr="00A07092">
        <w:rPr>
          <w:sz w:val="24"/>
          <w:szCs w:val="24"/>
        </w:rPr>
        <w:t>Abstract</w:t>
      </w:r>
      <w:r>
        <w:rPr>
          <w:sz w:val="24"/>
          <w:szCs w:val="24"/>
        </w:rPr>
        <w:t xml:space="preserve">: </w:t>
      </w:r>
      <w:r w:rsidRPr="00A07092">
        <w:rPr>
          <w:sz w:val="24"/>
          <w:szCs w:val="24"/>
        </w:rPr>
        <w:t>Great efforts have been made to understand the impacts of a changing climate on fire activity; however, a reliable approach with high prediction confidence has yet to be found. By establishing linkages between the longest duration of fire-conducive weather spell and fire activity parameters, this study projected annual area burned (AAB), annual number of fires (ANF), and annual maximum fire size (MFS) into the future. We found that even though the rates of change differ, the spatial pattern of changes for all three parameters are similar by Canadian ecozone. Areas with the lowest fire activity may see higher rates of change in comparison to high fire activity areas. By end of the century, the changes of AAB and MFS for the study area are projected to be about four and five times that of the baseline respectively, while ANF could almost double.</w:t>
      </w:r>
    </w:p>
    <w:p w14:paraId="037F9EF2" w14:textId="77777777" w:rsidR="00A07092" w:rsidRDefault="00A07092" w:rsidP="00A07092">
      <w:pPr>
        <w:ind w:left="432" w:hanging="432"/>
        <w:rPr>
          <w:sz w:val="24"/>
          <w:szCs w:val="24"/>
        </w:rPr>
      </w:pPr>
    </w:p>
    <w:p w14:paraId="1D458612" w14:textId="1A0DFB14" w:rsidR="00B333C6" w:rsidRDefault="00B333C6" w:rsidP="00B333C6">
      <w:pPr>
        <w:ind w:left="432" w:hanging="432"/>
      </w:pPr>
      <w:r w:rsidRPr="007649D3">
        <w:rPr>
          <w:sz w:val="24"/>
          <w:szCs w:val="24"/>
        </w:rPr>
        <w:t xml:space="preserve">Hanes, C., Wotton, M., Woolford, D.G., Martell, D.L. and Flannigan, M.D. 2022. Mapping organic layer thickness and fuel load of the boreal forest in Alberta, Canada.  </w:t>
      </w:r>
      <w:proofErr w:type="spellStart"/>
      <w:r w:rsidRPr="007649D3">
        <w:rPr>
          <w:sz w:val="24"/>
          <w:szCs w:val="24"/>
        </w:rPr>
        <w:t>Geoderma</w:t>
      </w:r>
      <w:proofErr w:type="spellEnd"/>
      <w:r w:rsidRPr="007649D3">
        <w:rPr>
          <w:sz w:val="24"/>
          <w:szCs w:val="24"/>
        </w:rPr>
        <w:t xml:space="preserve">. </w:t>
      </w:r>
      <w:hyperlink r:id="rId13" w:history="1">
        <w:r w:rsidR="00A07092" w:rsidRPr="004845A3">
          <w:rPr>
            <w:rStyle w:val="Hyperlink"/>
            <w:sz w:val="24"/>
            <w:szCs w:val="24"/>
          </w:rPr>
          <w:t>https://doi.org/10.1016/j.geoderma.2022.115827</w:t>
        </w:r>
      </w:hyperlink>
      <w:r w:rsidRPr="007649D3">
        <w:rPr>
          <w:sz w:val="24"/>
          <w:szCs w:val="24"/>
        </w:rPr>
        <w:t>.</w:t>
      </w:r>
      <w:r w:rsidRPr="00872117">
        <w:t xml:space="preserve"> </w:t>
      </w:r>
    </w:p>
    <w:p w14:paraId="2565DC93" w14:textId="77777777" w:rsidR="00F077D7" w:rsidRDefault="00F077D7" w:rsidP="00B333C6">
      <w:pPr>
        <w:ind w:left="432" w:hanging="432"/>
      </w:pPr>
    </w:p>
    <w:p w14:paraId="50494943" w14:textId="426761BF" w:rsidR="00A07092" w:rsidRDefault="00A07092" w:rsidP="00A07092">
      <w:pPr>
        <w:ind w:left="432" w:hanging="432"/>
        <w:rPr>
          <w:sz w:val="24"/>
          <w:szCs w:val="24"/>
        </w:rPr>
      </w:pPr>
      <w:r w:rsidRPr="00A07092">
        <w:rPr>
          <w:sz w:val="24"/>
          <w:szCs w:val="24"/>
        </w:rPr>
        <w:t xml:space="preserve">Abstract: Forest organic layers are important soil carbon pools that can, in the absence of disturbance, accumulate to great depths, especially in lowland areas. Across the Canadian boreal forest, fire is the primary disturbance agent, often limiting organic layer accumulation through the direct consumption of these fuels. Organic layer thickness (OLT) and fuel load (OLFL) are common physical attributes used to characterize these layers, especially for wildland fire science. Understanding the drivers and spatial distribution of these attributes is important to improve predictions of fire </w:t>
      </w:r>
      <w:proofErr w:type="spellStart"/>
      <w:r w:rsidRPr="00A07092">
        <w:rPr>
          <w:sz w:val="24"/>
          <w:szCs w:val="24"/>
        </w:rPr>
        <w:t>behaviour</w:t>
      </w:r>
      <w:proofErr w:type="spellEnd"/>
      <w:r w:rsidRPr="00A07092">
        <w:rPr>
          <w:sz w:val="24"/>
          <w:szCs w:val="24"/>
        </w:rPr>
        <w:t xml:space="preserve">, </w:t>
      </w:r>
      <w:proofErr w:type="gramStart"/>
      <w:r w:rsidRPr="00A07092">
        <w:rPr>
          <w:sz w:val="24"/>
          <w:szCs w:val="24"/>
        </w:rPr>
        <w:t>emissions</w:t>
      </w:r>
      <w:proofErr w:type="gramEnd"/>
      <w:r w:rsidRPr="00A07092">
        <w:rPr>
          <w:sz w:val="24"/>
          <w:szCs w:val="24"/>
        </w:rPr>
        <w:t xml:space="preserve"> and effects models. We developed maps of OLT and OLFL using machine learning approaches (weighted K-nearest </w:t>
      </w:r>
      <w:proofErr w:type="spellStart"/>
      <w:r w:rsidRPr="00A07092">
        <w:rPr>
          <w:sz w:val="24"/>
          <w:szCs w:val="24"/>
        </w:rPr>
        <w:t>neighbour</w:t>
      </w:r>
      <w:proofErr w:type="spellEnd"/>
      <w:r w:rsidRPr="00A07092">
        <w:rPr>
          <w:sz w:val="24"/>
          <w:szCs w:val="24"/>
        </w:rPr>
        <w:t xml:space="preserve"> and random forests) for the forested region of the province of Alberta, Canada (538, 058 km2). The random forests approach was found to be the best approach to model the spatial distribution of these forest floor attributes. A databased of 3, 237 OLT and 594 OLFL plots were used to train the models. The error in our final model, particularly for OLT (5 cm), was relatively close to the variability we would expect to find naturally (3 cm). The dominant tree species was the most important covariate in the models. Age, solar radiation, spatial location, climate variables and surficial geology were also important drivers, although their level of importance varied between tree species and depended on the modelling method that was used.</w:t>
      </w:r>
    </w:p>
    <w:p w14:paraId="131DA751" w14:textId="77777777" w:rsidR="00A07092" w:rsidRPr="00A07092" w:rsidRDefault="00A07092" w:rsidP="00A07092">
      <w:pPr>
        <w:ind w:left="432" w:hanging="432"/>
        <w:rPr>
          <w:sz w:val="24"/>
          <w:szCs w:val="24"/>
        </w:rPr>
      </w:pPr>
    </w:p>
    <w:bookmarkEnd w:id="1"/>
    <w:p w14:paraId="0F3530CA" w14:textId="0D669DCD" w:rsidR="00B333C6" w:rsidRDefault="00B333C6" w:rsidP="00B333C6">
      <w:pPr>
        <w:ind w:left="432" w:hanging="432"/>
        <w:rPr>
          <w:sz w:val="24"/>
          <w:szCs w:val="24"/>
        </w:rPr>
      </w:pPr>
      <w:r w:rsidRPr="00F41CB2">
        <w:rPr>
          <w:sz w:val="24"/>
          <w:szCs w:val="24"/>
        </w:rPr>
        <w:t>Sommers, M.D. and Flannigan, M.D. 2022.</w:t>
      </w:r>
      <w:r w:rsidRPr="00F41CB2">
        <w:t xml:space="preserve"> </w:t>
      </w:r>
      <w:r w:rsidRPr="00F41CB2">
        <w:rPr>
          <w:sz w:val="24"/>
          <w:szCs w:val="24"/>
        </w:rPr>
        <w:t xml:space="preserve">Green islands in a sea of fire: the role of fire refugia in the forests of Alberta. Environmental Reviews. </w:t>
      </w:r>
      <w:hyperlink r:id="rId14" w:history="1">
        <w:r w:rsidRPr="00DA7FA4">
          <w:rPr>
            <w:rStyle w:val="Hyperlink"/>
            <w:sz w:val="24"/>
            <w:szCs w:val="24"/>
          </w:rPr>
          <w:t>https://doi.org/10.1139/er-2021-0115</w:t>
        </w:r>
      </w:hyperlink>
      <w:r>
        <w:rPr>
          <w:sz w:val="24"/>
          <w:szCs w:val="24"/>
        </w:rPr>
        <w:t>.</w:t>
      </w:r>
    </w:p>
    <w:p w14:paraId="34C077F2" w14:textId="77777777" w:rsidR="00813EC2" w:rsidRDefault="00813EC2" w:rsidP="00B333C6">
      <w:pPr>
        <w:ind w:left="432" w:hanging="432"/>
        <w:rPr>
          <w:sz w:val="24"/>
          <w:szCs w:val="24"/>
        </w:rPr>
      </w:pPr>
    </w:p>
    <w:p w14:paraId="28212C92" w14:textId="7A7F26CA" w:rsidR="006131AD" w:rsidRDefault="006131AD" w:rsidP="006131AD">
      <w:pPr>
        <w:ind w:left="432" w:hanging="432"/>
        <w:rPr>
          <w:sz w:val="24"/>
          <w:szCs w:val="24"/>
        </w:rPr>
      </w:pPr>
      <w:r w:rsidRPr="006131AD">
        <w:rPr>
          <w:sz w:val="24"/>
          <w:szCs w:val="24"/>
        </w:rPr>
        <w:t>Abstract</w:t>
      </w:r>
      <w:r>
        <w:rPr>
          <w:sz w:val="24"/>
          <w:szCs w:val="24"/>
        </w:rPr>
        <w:t xml:space="preserve">: </w:t>
      </w:r>
      <w:r w:rsidRPr="006131AD">
        <w:rPr>
          <w:sz w:val="24"/>
          <w:szCs w:val="24"/>
        </w:rPr>
        <w:t>Alberta wildfires vary greatly in severity, resulting in a mosaic of burnt, partially burnt, and unburnt forest. These unburnt patches (refugia) within the fire perimeter are critical for the survival of organisms during the fire and the regeneration process. We examined the literature to identify how the fire regimes and landscape features found in Alberta affect the creation and persistence of refugia, the role of refugia for the flora and fauna of Alberta, how climate change is likely to affect refugia, how humans may alter the creation and effectiveness of refugia, and management implications moving forward. Refugia can vary in scale from small areas of unburnt soil or boulders (</w:t>
      </w:r>
      <w:proofErr w:type="spellStart"/>
      <w:r w:rsidRPr="006131AD">
        <w:rPr>
          <w:sz w:val="24"/>
          <w:szCs w:val="24"/>
        </w:rPr>
        <w:t>centimetres</w:t>
      </w:r>
      <w:proofErr w:type="spellEnd"/>
      <w:r w:rsidRPr="006131AD">
        <w:rPr>
          <w:sz w:val="24"/>
          <w:szCs w:val="24"/>
        </w:rPr>
        <w:t xml:space="preserve"> to a few </w:t>
      </w:r>
      <w:proofErr w:type="spellStart"/>
      <w:r w:rsidRPr="006131AD">
        <w:rPr>
          <w:sz w:val="24"/>
          <w:szCs w:val="24"/>
        </w:rPr>
        <w:t>metres</w:t>
      </w:r>
      <w:proofErr w:type="spellEnd"/>
      <w:r w:rsidRPr="006131AD">
        <w:rPr>
          <w:sz w:val="24"/>
          <w:szCs w:val="24"/>
        </w:rPr>
        <w:t xml:space="preserve">), to large </w:t>
      </w:r>
      <w:r w:rsidRPr="006131AD">
        <w:rPr>
          <w:sz w:val="24"/>
          <w:szCs w:val="24"/>
        </w:rPr>
        <w:lastRenderedPageBreak/>
        <w:t>stands of unburnt trees (many hectares) with different taxa using these refugia across all the spatial scales. Species reliant on habitat connectivity or old growth forest also benefit from refugia as they can use them as stepping-stones between intact habitats or as a lifeboat to recolonize from. The factors influencing what areas remain unburnt are complex and poorly understood but are likely tied to topography, aspect, proximity to waterbodies, weather changes (precipitation and wind direction), time of day during burning, and vegetation type. Areas with the right combination of topography, aspect, and proximity to water have cooler microclimates and higher moisture than the surrounding areas and may remain unburnt throughout multiple fire events, making them persistent refugia. Other areas may remain unburnt by a chance result of weather changes or having the fire pass through at night, making them random refugia. Many of the features that make persistent refugia unlikely to burn (cooler microclimate and higher moisture) will also buffer the effects of climate change. As a result, it is essential we manage the landscape in such a way as to protect areas that act as persistent refugia from industrial activities. In addition, we must restore fire in the landscape to maintain the mosaic of forest caused by mixed-severity fire, especially in the face of climate change, which is projected to increase the severity and frequency of wildfires in Alberta.</w:t>
      </w:r>
    </w:p>
    <w:p w14:paraId="7B00123C" w14:textId="77777777" w:rsidR="006131AD" w:rsidRPr="00F41CB2" w:rsidRDefault="006131AD" w:rsidP="006131AD">
      <w:pPr>
        <w:ind w:left="432" w:hanging="432"/>
        <w:rPr>
          <w:sz w:val="24"/>
          <w:szCs w:val="24"/>
        </w:rPr>
      </w:pPr>
    </w:p>
    <w:bookmarkEnd w:id="2"/>
    <w:p w14:paraId="5FD92DFD" w14:textId="56C65AC6" w:rsidR="00BE0FD1" w:rsidRDefault="00B333C6" w:rsidP="00B333C6">
      <w:pPr>
        <w:widowControl/>
        <w:ind w:left="357" w:hanging="357"/>
        <w:rPr>
          <w:rStyle w:val="Hyperlink"/>
          <w:sz w:val="24"/>
          <w:szCs w:val="24"/>
        </w:rPr>
      </w:pPr>
      <w:r w:rsidRPr="00595597">
        <w:rPr>
          <w:sz w:val="24"/>
          <w:szCs w:val="24"/>
          <w:lang w:eastAsia="zh-CN"/>
        </w:rPr>
        <w:t>Melnik, O</w:t>
      </w:r>
      <w:r>
        <w:rPr>
          <w:sz w:val="24"/>
          <w:szCs w:val="24"/>
          <w:lang w:eastAsia="zh-CN"/>
        </w:rPr>
        <w:t>.</w:t>
      </w:r>
      <w:r w:rsidRPr="00595597">
        <w:rPr>
          <w:sz w:val="24"/>
          <w:szCs w:val="24"/>
          <w:lang w:eastAsia="zh-CN"/>
        </w:rPr>
        <w:t xml:space="preserve"> M.</w:t>
      </w:r>
      <w:r>
        <w:rPr>
          <w:sz w:val="24"/>
          <w:szCs w:val="24"/>
          <w:lang w:eastAsia="zh-CN"/>
        </w:rPr>
        <w:t>,</w:t>
      </w:r>
      <w:r w:rsidRPr="00595597">
        <w:rPr>
          <w:sz w:val="24"/>
          <w:szCs w:val="24"/>
          <w:lang w:eastAsia="zh-CN"/>
        </w:rPr>
        <w:t xml:space="preserve"> </w:t>
      </w:r>
      <w:proofErr w:type="spellStart"/>
      <w:r w:rsidRPr="00595597">
        <w:rPr>
          <w:sz w:val="24"/>
          <w:szCs w:val="24"/>
          <w:lang w:eastAsia="zh-CN"/>
        </w:rPr>
        <w:t>Paskaluk</w:t>
      </w:r>
      <w:proofErr w:type="spellEnd"/>
      <w:r w:rsidRPr="00595597">
        <w:rPr>
          <w:sz w:val="24"/>
          <w:szCs w:val="24"/>
          <w:lang w:eastAsia="zh-CN"/>
        </w:rPr>
        <w:t>, S</w:t>
      </w:r>
      <w:r>
        <w:rPr>
          <w:sz w:val="24"/>
          <w:szCs w:val="24"/>
          <w:lang w:eastAsia="zh-CN"/>
        </w:rPr>
        <w:t>.</w:t>
      </w:r>
      <w:r w:rsidRPr="00595597">
        <w:rPr>
          <w:sz w:val="24"/>
          <w:szCs w:val="24"/>
          <w:lang w:eastAsia="zh-CN"/>
        </w:rPr>
        <w:t>A.</w:t>
      </w:r>
      <w:r>
        <w:rPr>
          <w:sz w:val="24"/>
          <w:szCs w:val="24"/>
          <w:lang w:eastAsia="zh-CN"/>
        </w:rPr>
        <w:t>,</w:t>
      </w:r>
      <w:r w:rsidRPr="00595597">
        <w:rPr>
          <w:sz w:val="24"/>
          <w:szCs w:val="24"/>
          <w:lang w:eastAsia="zh-CN"/>
        </w:rPr>
        <w:t xml:space="preserve"> Ackerman, M</w:t>
      </w:r>
      <w:r>
        <w:rPr>
          <w:sz w:val="24"/>
          <w:szCs w:val="24"/>
          <w:lang w:eastAsia="zh-CN"/>
        </w:rPr>
        <w:t>.</w:t>
      </w:r>
      <w:r w:rsidRPr="00595597">
        <w:rPr>
          <w:sz w:val="24"/>
          <w:szCs w:val="24"/>
          <w:lang w:eastAsia="zh-CN"/>
        </w:rPr>
        <w:t>Y.</w:t>
      </w:r>
      <w:r>
        <w:rPr>
          <w:sz w:val="24"/>
          <w:szCs w:val="24"/>
          <w:lang w:eastAsia="zh-CN"/>
        </w:rPr>
        <w:t xml:space="preserve">, </w:t>
      </w:r>
      <w:r w:rsidRPr="00595597">
        <w:rPr>
          <w:sz w:val="24"/>
          <w:szCs w:val="24"/>
          <w:lang w:eastAsia="zh-CN"/>
        </w:rPr>
        <w:t xml:space="preserve">Melnik, </w:t>
      </w:r>
      <w:r>
        <w:rPr>
          <w:sz w:val="24"/>
          <w:szCs w:val="24"/>
          <w:lang w:eastAsia="zh-CN"/>
        </w:rPr>
        <w:t xml:space="preserve">K., </w:t>
      </w:r>
      <w:r w:rsidRPr="00595597">
        <w:rPr>
          <w:sz w:val="24"/>
          <w:szCs w:val="24"/>
          <w:lang w:eastAsia="zh-CN"/>
        </w:rPr>
        <w:t>Thompson, D</w:t>
      </w:r>
      <w:r>
        <w:rPr>
          <w:sz w:val="24"/>
          <w:szCs w:val="24"/>
          <w:lang w:eastAsia="zh-CN"/>
        </w:rPr>
        <w:t>.</w:t>
      </w:r>
      <w:r w:rsidRPr="00595597">
        <w:rPr>
          <w:sz w:val="24"/>
          <w:szCs w:val="24"/>
          <w:lang w:eastAsia="zh-CN"/>
        </w:rPr>
        <w:t>K.</w:t>
      </w:r>
      <w:r>
        <w:rPr>
          <w:sz w:val="24"/>
          <w:szCs w:val="24"/>
          <w:lang w:eastAsia="zh-CN"/>
        </w:rPr>
        <w:t>,</w:t>
      </w:r>
      <w:r w:rsidRPr="00595597">
        <w:rPr>
          <w:sz w:val="24"/>
          <w:szCs w:val="24"/>
          <w:lang w:eastAsia="zh-CN"/>
        </w:rPr>
        <w:t xml:space="preserve"> McAllister, S</w:t>
      </w:r>
      <w:r>
        <w:rPr>
          <w:sz w:val="24"/>
          <w:szCs w:val="24"/>
          <w:lang w:eastAsia="zh-CN"/>
        </w:rPr>
        <w:t>.</w:t>
      </w:r>
      <w:r w:rsidRPr="00595597">
        <w:rPr>
          <w:sz w:val="24"/>
          <w:szCs w:val="24"/>
          <w:lang w:eastAsia="zh-CN"/>
        </w:rPr>
        <w:t>S.</w:t>
      </w:r>
      <w:r>
        <w:rPr>
          <w:sz w:val="24"/>
          <w:szCs w:val="24"/>
          <w:lang w:eastAsia="zh-CN"/>
        </w:rPr>
        <w:t>,</w:t>
      </w:r>
      <w:r w:rsidRPr="00595597">
        <w:rPr>
          <w:sz w:val="24"/>
          <w:szCs w:val="24"/>
          <w:lang w:eastAsia="zh-CN"/>
        </w:rPr>
        <w:t xml:space="preserve"> Flannigan</w:t>
      </w:r>
      <w:r w:rsidR="00BE0FD1">
        <w:rPr>
          <w:sz w:val="24"/>
          <w:szCs w:val="24"/>
          <w:lang w:eastAsia="zh-CN"/>
        </w:rPr>
        <w:t>,</w:t>
      </w:r>
      <w:r w:rsidRPr="00627A37">
        <w:rPr>
          <w:sz w:val="24"/>
          <w:szCs w:val="24"/>
          <w:lang w:eastAsia="zh-CN"/>
        </w:rPr>
        <w:t xml:space="preserve"> </w:t>
      </w:r>
      <w:r w:rsidRPr="00595597">
        <w:rPr>
          <w:sz w:val="24"/>
          <w:szCs w:val="24"/>
          <w:lang w:eastAsia="zh-CN"/>
        </w:rPr>
        <w:t>M</w:t>
      </w:r>
      <w:r>
        <w:rPr>
          <w:sz w:val="24"/>
          <w:szCs w:val="24"/>
          <w:lang w:eastAsia="zh-CN"/>
        </w:rPr>
        <w:t>.</w:t>
      </w:r>
      <w:r w:rsidRPr="00595597">
        <w:rPr>
          <w:sz w:val="24"/>
          <w:szCs w:val="24"/>
          <w:lang w:eastAsia="zh-CN"/>
        </w:rPr>
        <w:t xml:space="preserve">D. </w:t>
      </w:r>
      <w:r>
        <w:rPr>
          <w:sz w:val="24"/>
          <w:szCs w:val="24"/>
          <w:lang w:eastAsia="zh-CN"/>
        </w:rPr>
        <w:t xml:space="preserve">2022. </w:t>
      </w:r>
      <w:r w:rsidRPr="00595597">
        <w:rPr>
          <w:sz w:val="24"/>
          <w:szCs w:val="24"/>
          <w:lang w:eastAsia="zh-CN"/>
        </w:rPr>
        <w:t>New in-flame flammability testing method applied to monitor seasonal</w:t>
      </w:r>
      <w:r>
        <w:rPr>
          <w:sz w:val="24"/>
          <w:szCs w:val="24"/>
          <w:lang w:eastAsia="zh-CN"/>
        </w:rPr>
        <w:t xml:space="preserve"> </w:t>
      </w:r>
      <w:r w:rsidRPr="00595597">
        <w:rPr>
          <w:sz w:val="24"/>
          <w:szCs w:val="24"/>
          <w:lang w:eastAsia="zh-CN"/>
        </w:rPr>
        <w:t>changes in live fuel</w:t>
      </w:r>
      <w:r>
        <w:rPr>
          <w:sz w:val="24"/>
          <w:szCs w:val="24"/>
          <w:lang w:eastAsia="zh-CN"/>
        </w:rPr>
        <w:t xml:space="preserve">. </w:t>
      </w:r>
      <w:r w:rsidRPr="001E6A9B">
        <w:rPr>
          <w:sz w:val="24"/>
          <w:szCs w:val="24"/>
        </w:rPr>
        <w:t xml:space="preserve">Fire 2022, 5(1), 1; </w:t>
      </w:r>
      <w:hyperlink r:id="rId15" w:history="1">
        <w:r w:rsidR="006131AD" w:rsidRPr="004845A3">
          <w:rPr>
            <w:rStyle w:val="Hyperlink"/>
            <w:sz w:val="24"/>
            <w:szCs w:val="24"/>
          </w:rPr>
          <w:t>https://doi.org/10.3390/fire5010001</w:t>
        </w:r>
      </w:hyperlink>
      <w:r w:rsidR="00BE0FD1">
        <w:rPr>
          <w:rStyle w:val="Hyperlink"/>
          <w:sz w:val="24"/>
          <w:szCs w:val="24"/>
        </w:rPr>
        <w:t xml:space="preserve"> </w:t>
      </w:r>
    </w:p>
    <w:p w14:paraId="1295524C" w14:textId="77777777" w:rsidR="00813EC2" w:rsidRDefault="00813EC2" w:rsidP="00B333C6">
      <w:pPr>
        <w:widowControl/>
        <w:ind w:left="357" w:hanging="357"/>
        <w:rPr>
          <w:rStyle w:val="Hyperlink"/>
          <w:sz w:val="24"/>
          <w:szCs w:val="24"/>
        </w:rPr>
      </w:pPr>
    </w:p>
    <w:p w14:paraId="445DED28" w14:textId="55900847" w:rsidR="006131AD" w:rsidRPr="00B36C14" w:rsidRDefault="006131AD" w:rsidP="006131AD">
      <w:pPr>
        <w:widowControl/>
        <w:ind w:left="357" w:hanging="357"/>
        <w:rPr>
          <w:sz w:val="24"/>
          <w:szCs w:val="24"/>
        </w:rPr>
      </w:pPr>
      <w:r w:rsidRPr="006131AD">
        <w:rPr>
          <w:sz w:val="24"/>
          <w:szCs w:val="24"/>
        </w:rPr>
        <w:t>Abstract</w:t>
      </w:r>
      <w:r>
        <w:rPr>
          <w:sz w:val="24"/>
          <w:szCs w:val="24"/>
        </w:rPr>
        <w:t xml:space="preserve">: </w:t>
      </w:r>
      <w:r w:rsidRPr="006131AD">
        <w:rPr>
          <w:sz w:val="24"/>
          <w:szCs w:val="24"/>
        </w:rPr>
        <w:t>Improving the accuracy of fire behavior prediction requires better understanding of live fuel, the dominant component of tree crowns, which dictates the consumption and energy release of the crown fire flame-front. Live fuel flammability is not well represented by existing evaluation methods. High-flammability live fuel, e.g., in conifers, may maintain or increase the energy release of the advancing crown fire flame-front, while low-flammability live fuel, e.g., in boreal deciduous stands, may reduce or eventually suppress flame-front energy release. To better characterize these fuel–flame-front interactions, we propose a method for quantifying flammability as the fuel’s net effect on (contribution to) the frontal flame energy release, in which the frontal flame is simulated using a methane diffusion flame. The fuel’s energy release contribution to the methane flame was measured using oxygen consumption calorimetry as the difference in energy release between the methane flame interacting with live fuel and the methane flame alone. In-flame testing resulted in fuel ignition and consumption comparable to those in wildfires. The energy release contribution of live fuel was significantly lower than its energy content measured using standard methods, suggesting better sensitivity of the proposed metric to water content- and oxygen deficiency-associated energy release reductions within the combustion zone</w:t>
      </w:r>
    </w:p>
    <w:p w14:paraId="09E4BE18" w14:textId="53212CD2" w:rsidR="00F03D59" w:rsidRDefault="00000000"/>
    <w:p w14:paraId="3AC1576B" w14:textId="119A8195" w:rsidR="00BE0FD1" w:rsidRDefault="00BE0FD1" w:rsidP="00BE0FD1"/>
    <w:sectPr w:rsidR="00BE0FD1">
      <w:headerReference w:type="default" r:id="rId16"/>
      <w:footerReference w:type="defaul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C36D4" w14:textId="77777777" w:rsidR="007F4291" w:rsidRDefault="007F4291" w:rsidP="00813EC2">
      <w:r>
        <w:separator/>
      </w:r>
    </w:p>
  </w:endnote>
  <w:endnote w:type="continuationSeparator" w:id="0">
    <w:p w14:paraId="31D2AA43" w14:textId="77777777" w:rsidR="007F4291" w:rsidRDefault="007F4291" w:rsidP="00813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3770013"/>
      <w:docPartObj>
        <w:docPartGallery w:val="Page Numbers (Bottom of Page)"/>
        <w:docPartUnique/>
      </w:docPartObj>
    </w:sdtPr>
    <w:sdtEndPr>
      <w:rPr>
        <w:noProof/>
      </w:rPr>
    </w:sdtEndPr>
    <w:sdtContent>
      <w:p w14:paraId="45BF5367" w14:textId="18A0FAEB" w:rsidR="00813EC2" w:rsidRDefault="00813EC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62FB2E" w14:textId="77777777" w:rsidR="00813EC2" w:rsidRDefault="00813E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CB782" w14:textId="77777777" w:rsidR="007F4291" w:rsidRDefault="007F4291" w:rsidP="00813EC2">
      <w:r>
        <w:separator/>
      </w:r>
    </w:p>
  </w:footnote>
  <w:footnote w:type="continuationSeparator" w:id="0">
    <w:p w14:paraId="3BA46D63" w14:textId="77777777" w:rsidR="007F4291" w:rsidRDefault="007F4291" w:rsidP="00813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72A0A" w14:textId="19F7A0D9" w:rsidR="00E307CC" w:rsidRPr="00E307CC" w:rsidRDefault="00E307CC">
    <w:pPr>
      <w:pStyle w:val="Header"/>
      <w:rPr>
        <w:b/>
        <w:bCs/>
        <w:sz w:val="28"/>
        <w:szCs w:val="28"/>
      </w:rPr>
    </w:pPr>
    <w:r w:rsidRPr="00E307CC">
      <w:rPr>
        <w:b/>
        <w:bCs/>
        <w:sz w:val="28"/>
        <w:szCs w:val="28"/>
      </w:rPr>
      <w:t>Publication</w:t>
    </w:r>
    <w:r w:rsidR="006E041C">
      <w:rPr>
        <w:b/>
        <w:bCs/>
        <w:sz w:val="28"/>
        <w:szCs w:val="28"/>
      </w:rPr>
      <w:t>s</w:t>
    </w:r>
    <w:r w:rsidRPr="00E307CC">
      <w:rPr>
        <w:b/>
        <w:bCs/>
        <w:sz w:val="28"/>
        <w:szCs w:val="28"/>
      </w:rPr>
      <w:t xml:space="preserve"> </w:t>
    </w:r>
    <w:r>
      <w:rPr>
        <w:b/>
        <w:bCs/>
        <w:sz w:val="28"/>
        <w:szCs w:val="28"/>
      </w:rPr>
      <w:t xml:space="preserve">2022 and </w:t>
    </w:r>
    <w:r w:rsidRPr="00E307CC">
      <w:rPr>
        <w:b/>
        <w:bCs/>
        <w:sz w:val="28"/>
        <w:szCs w:val="28"/>
      </w:rPr>
      <w:t>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3C6"/>
    <w:rsid w:val="002D6A5F"/>
    <w:rsid w:val="00394F60"/>
    <w:rsid w:val="004D7BE4"/>
    <w:rsid w:val="00551F7E"/>
    <w:rsid w:val="00582FF1"/>
    <w:rsid w:val="006131AD"/>
    <w:rsid w:val="006229A2"/>
    <w:rsid w:val="006951F2"/>
    <w:rsid w:val="006E041C"/>
    <w:rsid w:val="007F4291"/>
    <w:rsid w:val="00813EC2"/>
    <w:rsid w:val="00966572"/>
    <w:rsid w:val="00A07092"/>
    <w:rsid w:val="00B333C6"/>
    <w:rsid w:val="00BE061D"/>
    <w:rsid w:val="00BE0FD1"/>
    <w:rsid w:val="00CB4A81"/>
    <w:rsid w:val="00CD3376"/>
    <w:rsid w:val="00E307CC"/>
    <w:rsid w:val="00EB5B07"/>
    <w:rsid w:val="00F03916"/>
    <w:rsid w:val="00F077D7"/>
    <w:rsid w:val="00F9161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FACC"/>
  <w15:chartTrackingRefBased/>
  <w15:docId w15:val="{07E67592-1B11-497B-9AB2-A39C646F5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3C6"/>
    <w:pPr>
      <w:widowControl w:val="0"/>
      <w:autoSpaceDE w:val="0"/>
      <w:autoSpaceDN w:val="0"/>
      <w:adjustRightInd w:val="0"/>
      <w:spacing w:after="0" w:line="240" w:lineRule="auto"/>
    </w:pPr>
    <w:rPr>
      <w:rFonts w:ascii="Times New Roman" w:eastAsia="SimSu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333C6"/>
    <w:rPr>
      <w:color w:val="0000FF"/>
      <w:u w:val="single"/>
    </w:rPr>
  </w:style>
  <w:style w:type="character" w:styleId="UnresolvedMention">
    <w:name w:val="Unresolved Mention"/>
    <w:basedOn w:val="DefaultParagraphFont"/>
    <w:uiPriority w:val="99"/>
    <w:semiHidden/>
    <w:unhideWhenUsed/>
    <w:rsid w:val="002D6A5F"/>
    <w:rPr>
      <w:color w:val="605E5C"/>
      <w:shd w:val="clear" w:color="auto" w:fill="E1DFDD"/>
    </w:rPr>
  </w:style>
  <w:style w:type="character" w:styleId="FollowedHyperlink">
    <w:name w:val="FollowedHyperlink"/>
    <w:basedOn w:val="DefaultParagraphFont"/>
    <w:uiPriority w:val="99"/>
    <w:semiHidden/>
    <w:unhideWhenUsed/>
    <w:rsid w:val="00A07092"/>
    <w:rPr>
      <w:color w:val="954F72" w:themeColor="followedHyperlink"/>
      <w:u w:val="single"/>
    </w:rPr>
  </w:style>
  <w:style w:type="paragraph" w:styleId="Header">
    <w:name w:val="header"/>
    <w:basedOn w:val="Normal"/>
    <w:link w:val="HeaderChar"/>
    <w:uiPriority w:val="99"/>
    <w:unhideWhenUsed/>
    <w:rsid w:val="00813EC2"/>
    <w:pPr>
      <w:tabs>
        <w:tab w:val="center" w:pos="4680"/>
        <w:tab w:val="right" w:pos="9360"/>
      </w:tabs>
    </w:pPr>
  </w:style>
  <w:style w:type="character" w:customStyle="1" w:styleId="HeaderChar">
    <w:name w:val="Header Char"/>
    <w:basedOn w:val="DefaultParagraphFont"/>
    <w:link w:val="Header"/>
    <w:uiPriority w:val="99"/>
    <w:rsid w:val="00813EC2"/>
    <w:rPr>
      <w:rFonts w:ascii="Times New Roman" w:eastAsia="SimSun" w:hAnsi="Times New Roman" w:cs="Times New Roman"/>
      <w:sz w:val="20"/>
      <w:szCs w:val="20"/>
      <w:lang w:val="en-US"/>
    </w:rPr>
  </w:style>
  <w:style w:type="paragraph" w:styleId="Footer">
    <w:name w:val="footer"/>
    <w:basedOn w:val="Normal"/>
    <w:link w:val="FooterChar"/>
    <w:uiPriority w:val="99"/>
    <w:unhideWhenUsed/>
    <w:rsid w:val="00813EC2"/>
    <w:pPr>
      <w:tabs>
        <w:tab w:val="center" w:pos="4680"/>
        <w:tab w:val="right" w:pos="9360"/>
      </w:tabs>
    </w:pPr>
  </w:style>
  <w:style w:type="character" w:customStyle="1" w:styleId="FooterChar">
    <w:name w:val="Footer Char"/>
    <w:basedOn w:val="DefaultParagraphFont"/>
    <w:link w:val="Footer"/>
    <w:uiPriority w:val="99"/>
    <w:rsid w:val="00813EC2"/>
    <w:rPr>
      <w:rFonts w:ascii="Times New Roman" w:eastAsia="SimSu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8/s41558-021-01224-1" TargetMode="External"/><Relationship Id="rId13" Type="http://schemas.openxmlformats.org/officeDocument/2006/relationships/hyperlink" Target="https://doi.org/10.1016/j.geoderma.2022.115827"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ecolind.2022.109611" TargetMode="External"/><Relationship Id="rId12" Type="http://schemas.openxmlformats.org/officeDocument/2006/relationships/hyperlink" Target="https://doi.org/10.1016/j.scitotenv.2022.154752"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i.org/10.1016/j.scitotenv.2023.161831" TargetMode="External"/><Relationship Id="rId11" Type="http://schemas.openxmlformats.org/officeDocument/2006/relationships/hyperlink" Target="https://doi.org/10.1175/JCLI-D-21-0926.1" TargetMode="External"/><Relationship Id="rId5" Type="http://schemas.openxmlformats.org/officeDocument/2006/relationships/endnotes" Target="endnotes.xml"/><Relationship Id="rId15" Type="http://schemas.openxmlformats.org/officeDocument/2006/relationships/hyperlink" Target="https://doi.org/10.3390/fire5010001" TargetMode="External"/><Relationship Id="rId10" Type="http://schemas.openxmlformats.org/officeDocument/2006/relationships/hyperlink" Target="https://doi.org/10.1093/femsec/fiac069"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oi.org/10.3390/environsciproc2022017085" TargetMode="External"/><Relationship Id="rId14" Type="http://schemas.openxmlformats.org/officeDocument/2006/relationships/hyperlink" Target="https://doi.org/10.1139/er-2021-01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4254</Words>
  <Characters>24248</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Flannigan</dc:creator>
  <cp:keywords/>
  <dc:description/>
  <cp:lastModifiedBy>Michael Flannigan</cp:lastModifiedBy>
  <cp:revision>2</cp:revision>
  <dcterms:created xsi:type="dcterms:W3CDTF">2023-02-02T22:00:00Z</dcterms:created>
  <dcterms:modified xsi:type="dcterms:W3CDTF">2023-02-02T22:00:00Z</dcterms:modified>
</cp:coreProperties>
</file>